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AH、L、G系列渣浆泵说明书</w:t>
      </w:r>
    </w:p>
    <w:p>
      <w:pPr>
        <w:pStyle w:val="Heading1"/>
      </w:pPr>
      <w:r>
        <w:rPr>
          <w:rFonts w:ascii="Microsoft YaHei" w:hAnsi="Microsoft YaHei" w:eastAsia="Microsoft YaHei"/>
        </w:rPr>
        <w:t>一、概 述</w:t>
      </w:r>
    </w:p>
    <w:p>
      <w:pPr>
        <w:ind w:firstLine="420"/>
      </w:pPr>
      <w:r>
        <w:rPr>
          <w:rFonts w:ascii="Microsoft YaHei" w:hAnsi="Microsoft YaHei" w:eastAsia="Microsoft YaHei"/>
          <w:b w:val="0"/>
          <w:sz w:val="24"/>
        </w:rPr>
        <w:t>卧式渣浆泵为悬臂离心式渣浆泵，适用于输送磨蚀性或腐蚀性渣浆，被广泛应用于冶金、矿山、石油、化工、煤炭、电力、交通，河流疏浚，建材及市政工程等部门。其结构特点，按使用范围可分为以下几种型式：</w:t>
      </w:r>
    </w:p>
    <w:p>
      <w:pPr>
        <w:ind w:firstLine="420"/>
      </w:pPr>
      <w:r>
        <w:rPr>
          <w:rFonts w:ascii="Microsoft YaHei" w:hAnsi="Microsoft YaHei" w:eastAsia="Microsoft YaHei"/>
          <w:b w:val="0"/>
          <w:sz w:val="24"/>
        </w:rPr>
        <w:t>1、AH 、AHP、 HP、 M、 H、 HH型泵，亦可称为重型渣浆泵。由于该型泵具有较厚的承磨件并配重型托架，故适于输送强磨蚀，高浓度渣浆或低浓度高扬程渣浆，在泵的最大允许工作压力范围之内，可以多级串联使用。其中HH型泵适用于输送低浓度高扬程渣浆或高浓度低磨蚀的高扬程渣浆。以上几种型式的泵亦可用于有一定磨蚀性的渣浆。</w:t>
      </w:r>
    </w:p>
    <w:p>
      <w:pPr>
        <w:ind w:firstLine="420"/>
      </w:pPr>
      <w:r>
        <w:rPr>
          <w:rFonts w:ascii="Microsoft YaHei" w:hAnsi="Microsoft YaHei" w:eastAsia="Microsoft YaHei"/>
          <w:b w:val="0"/>
          <w:sz w:val="24"/>
        </w:rPr>
        <w:t>2、L型泵，亦称为轻型渣浆泵。与重型渣浆泵相比，该型泵转速越高，体积小，重量轻，适用于输送细颗粒，低浓度的渣浆或腐蚀性渣浆。输送浆体的重量浓度一般不超过30%，亦可用于输送高浓度低磨蚀性渣浆。</w:t>
      </w:r>
    </w:p>
    <w:p>
      <w:pPr>
        <w:ind w:firstLine="420"/>
      </w:pPr>
      <w:r>
        <w:rPr>
          <w:rFonts w:ascii="Microsoft YaHei" w:hAnsi="Microsoft YaHei" w:eastAsia="Microsoft YaHei"/>
          <w:b w:val="0"/>
          <w:sz w:val="24"/>
        </w:rPr>
        <w:t>3、D型挖泥泵及G型砂浆泵，该型泵具有较大的过流通道，适用于输送砂砾，泥浆及固体颗粒较大的渣浆。</w:t>
      </w:r>
    </w:p>
    <w:p>
      <w:pPr>
        <w:ind w:firstLine="420"/>
      </w:pPr>
      <w:r>
        <w:rPr>
          <w:rFonts w:ascii="Microsoft YaHei" w:hAnsi="Microsoft YaHei" w:eastAsia="Microsoft YaHei"/>
          <w:b w:val="0"/>
          <w:sz w:val="24"/>
        </w:rPr>
        <w:t>4、AHR、 LR、 MR型泵，该泵过流部件为橡胶材料。其泵体、泵盖及传动部件等与AH 、L、M型泵通用。适用于输送细颗粒及腐蚀性渣浆。</w:t>
      </w:r>
    </w:p>
    <w:p>
      <w:pPr>
        <w:pStyle w:val="Heading2"/>
      </w:pPr>
      <w:r>
        <w:rPr>
          <w:rFonts w:ascii="Microsoft YaHei" w:hAnsi="Microsoft YaHei" w:eastAsia="Microsoft YaHei"/>
        </w:rPr>
        <w:t>型号意义：</w:t>
      </w:r>
    </w:p>
    <w:p>
      <w:r>
        <w:rPr>
          <w:rFonts w:ascii="Microsoft YaHei" w:hAnsi="Microsoft YaHei" w:eastAsia="Microsoft YaHei"/>
          <w:b/>
          <w:sz w:val="24"/>
        </w:rPr>
        <w:t>10 / 8   ST – AH</w:t>
      </w:r>
    </w:p>
    <w:tbl>
      <w:tblPr>
        <w:tblStyle w:val="LightGrid-Accent1"/>
        <w:tblW w:type="auto" w:w="0"/>
        <w:jc w:val="center"/>
        <w:tblLook w:firstColumn="1" w:firstRow="1" w:lastColumn="0" w:lastRow="0" w:noHBand="0" w:noVBand="1" w:val="04A0"/>
      </w:tblPr>
      <w:tblGrid>
        <w:gridCol w:w="4323"/>
        <w:gridCol w:w="4323"/>
      </w:tblGrid>
      <w:tr>
        <w:tc>
          <w:tcPr>
            <w:tcW w:type="dxa" w:w="4323"/>
          </w:tcPr>
          <w:p>
            <w:pPr>
              <w:jc w:val="center"/>
            </w:pPr>
            <w:r>
              <w:rPr>
                <w:b/>
                <w:sz w:val="20"/>
              </w:rPr>
              <w:t>标注</w:t>
            </w:r>
          </w:p>
        </w:tc>
        <w:tc>
          <w:tcPr>
            <w:tcW w:type="dxa" w:w="4323"/>
          </w:tcPr>
          <w:p>
            <w:pPr>
              <w:jc w:val="center"/>
            </w:pPr>
            <w:r>
              <w:rPr>
                <w:b/>
                <w:sz w:val="20"/>
              </w:rPr>
              <w:t>含义</w:t>
            </w:r>
          </w:p>
        </w:tc>
      </w:tr>
      <w:tr>
        <w:tc>
          <w:tcPr>
            <w:tcW w:type="dxa" w:w="4323"/>
          </w:tcPr>
          <w:p>
            <w:pPr>
              <w:jc w:val="center"/>
            </w:pPr>
            <w:r>
              <w:rPr>
                <w:sz w:val="20"/>
              </w:rPr>
              <w:t>AH</w:t>
            </w:r>
          </w:p>
        </w:tc>
        <w:tc>
          <w:tcPr>
            <w:tcW w:type="dxa" w:w="4323"/>
          </w:tcPr>
          <w:p>
            <w:pPr>
              <w:jc w:val="center"/>
            </w:pPr>
            <w:r>
              <w:rPr>
                <w:sz w:val="20"/>
              </w:rPr>
              <w:t>AH型泵（重型渣浆泵）</w:t>
            </w:r>
          </w:p>
        </w:tc>
      </w:tr>
      <w:tr>
        <w:tc>
          <w:tcPr>
            <w:tcW w:type="dxa" w:w="4323"/>
          </w:tcPr>
          <w:p>
            <w:pPr>
              <w:jc w:val="center"/>
            </w:pPr>
            <w:r>
              <w:rPr>
                <w:sz w:val="20"/>
              </w:rPr>
              <w:t>ST</w:t>
            </w:r>
          </w:p>
        </w:tc>
        <w:tc>
          <w:tcPr>
            <w:tcW w:type="dxa" w:w="4323"/>
          </w:tcPr>
          <w:p>
            <w:pPr>
              <w:jc w:val="center"/>
            </w:pPr>
            <w:r>
              <w:rPr>
                <w:sz w:val="20"/>
              </w:rPr>
              <w:t>ST型托架</w:t>
            </w:r>
          </w:p>
        </w:tc>
      </w:tr>
      <w:tr>
        <w:tc>
          <w:tcPr>
            <w:tcW w:type="dxa" w:w="4323"/>
          </w:tcPr>
          <w:p>
            <w:pPr>
              <w:jc w:val="center"/>
            </w:pPr>
            <w:r>
              <w:rPr>
                <w:sz w:val="20"/>
              </w:rPr>
              <w:t>10</w:t>
            </w:r>
          </w:p>
        </w:tc>
        <w:tc>
          <w:tcPr>
            <w:tcW w:type="dxa" w:w="4323"/>
          </w:tcPr>
          <w:p>
            <w:pPr>
              <w:jc w:val="center"/>
            </w:pPr>
            <w:r>
              <w:rPr>
                <w:sz w:val="20"/>
              </w:rPr>
              <w:t>进口直径10英寸</w:t>
            </w:r>
          </w:p>
        </w:tc>
      </w:tr>
      <w:tr>
        <w:tc>
          <w:tcPr>
            <w:tcW w:type="dxa" w:w="4323"/>
          </w:tcPr>
          <w:p>
            <w:pPr>
              <w:jc w:val="center"/>
            </w:pPr>
            <w:r>
              <w:rPr>
                <w:sz w:val="20"/>
              </w:rPr>
              <w:t>8</w:t>
            </w:r>
          </w:p>
        </w:tc>
        <w:tc>
          <w:tcPr>
            <w:tcW w:type="dxa" w:w="4323"/>
          </w:tcPr>
          <w:p>
            <w:pPr>
              <w:jc w:val="center"/>
            </w:pPr>
            <w:r>
              <w:rPr>
                <w:sz w:val="20"/>
              </w:rPr>
              <w:t>出口直径8英寸</w:t>
            </w:r>
          </w:p>
        </w:tc>
      </w:tr>
    </w:tbl>
    <w:p>
      <w:pPr>
        <w:pStyle w:val="Heading1"/>
      </w:pPr>
      <w:r>
        <w:rPr>
          <w:rFonts w:ascii="Microsoft YaHei" w:hAnsi="Microsoft YaHei" w:eastAsia="Microsoft YaHei"/>
        </w:rPr>
        <w:t>二、结 构 说 明</w:t>
      </w:r>
    </w:p>
    <w:p>
      <w:r>
        <w:rPr>
          <w:rFonts w:ascii="Microsoft YaHei" w:hAnsi="Microsoft YaHei" w:eastAsia="Microsoft YaHei"/>
          <w:b w:val="0"/>
          <w:sz w:val="24"/>
        </w:rPr>
        <w:t>AH、AHP、HP、M、H、HH型泵结构图见图一</w:t>
      </w:r>
    </w:p>
    <w:p>
      <w:r>
        <w:rPr>
          <w:rFonts w:ascii="Microsoft YaHei" w:hAnsi="Microsoft YaHei" w:eastAsia="Microsoft YaHei"/>
          <w:b w:val="0"/>
          <w:sz w:val="24"/>
        </w:rPr>
        <w:t>AHR、MR、LR型泵结构图见图二</w:t>
      </w:r>
    </w:p>
    <w:p>
      <w:r>
        <w:rPr>
          <w:rFonts w:ascii="Microsoft YaHei" w:hAnsi="Microsoft YaHei" w:eastAsia="Microsoft YaHei"/>
          <w:b w:val="0"/>
          <w:sz w:val="24"/>
        </w:rPr>
        <w:t>L型泵结构图见图三</w:t>
      </w:r>
    </w:p>
    <w:p>
      <w:r>
        <w:rPr>
          <w:rFonts w:ascii="Microsoft YaHei" w:hAnsi="Microsoft YaHei" w:eastAsia="Microsoft YaHei"/>
          <w:b w:val="0"/>
          <w:sz w:val="24"/>
        </w:rPr>
        <w:t>D、G型泵结构图见图四</w:t>
      </w:r>
    </w:p>
    <w:p>
      <w:pPr>
        <w:ind w:firstLine="420"/>
      </w:pPr>
      <w:r>
        <w:rPr>
          <w:rFonts w:ascii="Microsoft YaHei" w:hAnsi="Microsoft YaHei" w:eastAsia="Microsoft YaHei"/>
          <w:b w:val="0"/>
          <w:sz w:val="24"/>
        </w:rPr>
        <w:t>以上各种形式卧式渣浆泵除泵头部分（包括泵体、泵盖、叶轮等）结构不同外，其余部分结构相似，采用同一系列的传动部分。下面按泵头部分、轴封部分及传动部分，分别叙述其结构特点。</w:t>
      </w:r>
    </w:p>
    <w:p>
      <w:pPr>
        <w:pStyle w:val="Heading2"/>
      </w:pPr>
      <w:r>
        <w:rPr>
          <w:rFonts w:ascii="Microsoft YaHei" w:hAnsi="Microsoft YaHei" w:eastAsia="Microsoft YaHei"/>
        </w:rPr>
        <w:t>1. 泵头部分</w:t>
      </w:r>
    </w:p>
    <w:p>
      <w:pPr>
        <w:ind w:firstLine="420"/>
      </w:pPr>
      <w:r>
        <w:rPr>
          <w:rFonts w:ascii="Microsoft YaHei" w:hAnsi="Microsoft YaHei" w:eastAsia="Microsoft YaHei"/>
          <w:b w:val="0"/>
          <w:sz w:val="24"/>
        </w:rPr>
        <w:t>L、M、AH、AHP、HP、H、HH型泵为双泵壳结构，即泵体、泵盖带有可更换的耐磨金属内衬（包括叶轮、护套、护板等）。泵体、泵盖根据工作压力采用灰铸铁或球墨铸铁制造，垂直中开，用螺栓连接。泵体有止口与托架用螺栓连接。泵的吐出口可按八个角度旋转安装。叶轮前后盖板带有背叶片以减少泄漏及提高泵的使用寿命。</w:t>
      </w:r>
    </w:p>
    <w:p>
      <w:pPr>
        <w:ind w:firstLine="420"/>
      </w:pPr>
      <w:r>
        <w:rPr>
          <w:rFonts w:ascii="Microsoft YaHei" w:hAnsi="Microsoft YaHei" w:eastAsia="Microsoft YaHei"/>
          <w:b w:val="0"/>
          <w:sz w:val="24"/>
        </w:rPr>
        <w:t>AHR 、LR、 MR型泵亦为双泵壳结构，泵体、泵盖带有可更换的耐腐蚀橡胶内衬（包括叶轮、前护套、后护套等）。泵体、泵盖与AH、 L、 M型泵的泵体、泵盖通用，其传动部分及安装形式与 AH、 L、 M型泵相同。</w:t>
      </w:r>
    </w:p>
    <w:p>
      <w:pPr>
        <w:ind w:firstLine="420"/>
      </w:pPr>
      <w:r>
        <w:rPr>
          <w:rFonts w:ascii="Microsoft YaHei" w:hAnsi="Microsoft YaHei" w:eastAsia="Microsoft YaHei"/>
          <w:b w:val="0"/>
          <w:sz w:val="24"/>
        </w:rPr>
        <w:t>D、G型泵为单泵壳结构（即不带内衬）。泵体、泵盖和叶轮均采用耐磨金属制造。泵体、泵盖的连接采用特殊的夹紧结构，泵出口方向可任意旋转，安装拆卸方便。</w:t>
      </w:r>
    </w:p>
    <w:p>
      <w:pPr>
        <w:ind w:firstLine="420"/>
      </w:pPr>
      <w:r>
        <w:rPr>
          <w:rFonts w:ascii="Microsoft YaHei" w:hAnsi="Microsoft YaHei" w:eastAsia="Microsoft YaHei"/>
          <w:b w:val="0"/>
          <w:sz w:val="24"/>
        </w:rPr>
        <w:t>各型泵进口均为水平方向，从传动方向看泵为顺时正方向旋转。</w:t>
      </w:r>
    </w:p>
    <w:p>
      <w:pPr>
        <w:pStyle w:val="Heading2"/>
      </w:pPr>
      <w:r>
        <w:rPr>
          <w:rFonts w:ascii="Microsoft YaHei" w:hAnsi="Microsoft YaHei" w:eastAsia="Microsoft YaHei"/>
        </w:rPr>
        <w:t>2. 轴封部分</w:t>
      </w:r>
    </w:p>
    <w:p>
      <w:pPr>
        <w:ind w:firstLine="420"/>
      </w:pPr>
      <w:r>
        <w:rPr>
          <w:rFonts w:ascii="Microsoft YaHei" w:hAnsi="Microsoft YaHei" w:eastAsia="Microsoft YaHei"/>
          <w:b w:val="0"/>
          <w:sz w:val="24"/>
        </w:rPr>
        <w:t>轴封有两种型式，副叶轮轴封及填料轴封。</w:t>
      </w:r>
    </w:p>
    <w:p>
      <w:pPr>
        <w:ind w:firstLine="420"/>
      </w:pPr>
      <w:r>
        <w:rPr>
          <w:rFonts w:ascii="Microsoft YaHei" w:hAnsi="Microsoft YaHei" w:eastAsia="Microsoft YaHei"/>
          <w:b w:val="0"/>
          <w:sz w:val="24"/>
        </w:rPr>
        <w:t>（1）、副叶轮轴封：在泵进口正压力值不大于泵出口压力值10%时的单级泵或多级串联的第一级泵，可以采用副叶轮轴封，副叶轮轴封具有不需要轴封水，不稀释矿浆，轴封效果好等优点。</w:t>
      </w:r>
    </w:p>
    <w:p>
      <w:pPr>
        <w:ind w:firstLine="420"/>
      </w:pPr>
      <w:r>
        <w:rPr>
          <w:rFonts w:ascii="Microsoft YaHei" w:hAnsi="Microsoft YaHei" w:eastAsia="Microsoft YaHei"/>
          <w:b w:val="0"/>
          <w:sz w:val="24"/>
        </w:rPr>
        <w:t>（2）、填料轴封：填料轴封结构简单，维修方便，但须使用轴封水，对于不适于用副叶轮轴封的工况可采用填料轴封。</w:t>
      </w:r>
    </w:p>
    <w:p>
      <w:pPr>
        <w:jc w:val="center"/>
      </w:pPr>
      <w:r>
        <w:drawing>
          <wp:inline xmlns:a="http://schemas.openxmlformats.org/drawingml/2006/main" xmlns:pic="http://schemas.openxmlformats.org/drawingml/2006/picture">
            <wp:extent cx="5029200" cy="6048787"/>
            <wp:docPr id="1" name="Picture 1"/>
            <wp:cNvGraphicFramePr>
              <a:graphicFrameLocks noChangeAspect="1"/>
            </wp:cNvGraphicFramePr>
            <a:graphic>
              <a:graphicData uri="http://schemas.openxmlformats.org/drawingml/2006/picture">
                <pic:pic>
                  <pic:nvPicPr>
                    <pic:cNvPr id="0" name="image011.jpg"/>
                    <pic:cNvPicPr/>
                  </pic:nvPicPr>
                  <pic:blipFill>
                    <a:blip r:embed="rId9"/>
                    <a:stretch>
                      <a:fillRect/>
                    </a:stretch>
                  </pic:blipFill>
                  <pic:spPr>
                    <a:xfrm>
                      <a:off x="0" y="0"/>
                      <a:ext cx="5029200" cy="6048787"/>
                    </a:xfrm>
                    <a:prstGeom prst="rect"/>
                  </pic:spPr>
                </pic:pic>
              </a:graphicData>
            </a:graphic>
          </wp:inline>
        </w:drawing>
      </w:r>
    </w:p>
    <w:p>
      <w:pPr>
        <w:jc w:val="center"/>
      </w:pPr>
      <w:r>
        <w:rPr>
          <w:rFonts w:ascii="Microsoft YaHei" w:hAnsi="Microsoft YaHei" w:eastAsia="Microsoft YaHei"/>
          <w:color w:val="808080"/>
          <w:sz w:val="20"/>
        </w:rPr>
        <w:t>图一 AH、AHP、HP、M、H、HH型泵结构图</w:t>
      </w:r>
    </w:p>
    <w:p>
      <w:pPr>
        <w:pStyle w:val="Heading2"/>
      </w:pPr>
      <w:r>
        <w:rPr>
          <w:rFonts w:ascii="Microsoft YaHei" w:hAnsi="Microsoft YaHei" w:eastAsia="Microsoft YaHei"/>
        </w:rPr>
        <w:t>3. 传动部分</w:t>
      </w:r>
    </w:p>
    <w:p>
      <w:pPr>
        <w:ind w:firstLine="420"/>
      </w:pPr>
      <w:r>
        <w:rPr>
          <w:rFonts w:ascii="Microsoft YaHei" w:hAnsi="Microsoft YaHei" w:eastAsia="Microsoft YaHei"/>
          <w:b w:val="0"/>
          <w:sz w:val="24"/>
        </w:rPr>
        <w:t>各种卧式渣浆泵均采用同一系列的传动部分，包括托架和轴承组件，泵轴直径大，刚性好，悬臂短、在恶劣的工况下不会弯曲和振动，轴承根据传递的功率不同选用重型单列或双列圆锥滚子轴承及圆柱滚子轴承，能够承受泵的最大轴向及径向载荷，轴承采用油脂润滑，轴承体两端有密封端盖，迷宫套及迷宫环，能有效防止矿浆等污物进入轴承，保证轴承能安全运行，具有较高的寿命。</w:t>
      </w:r>
    </w:p>
    <w:p>
      <w:pPr>
        <w:jc w:val="center"/>
      </w:pPr>
      <w:r>
        <w:drawing>
          <wp:inline xmlns:a="http://schemas.openxmlformats.org/drawingml/2006/main" xmlns:pic="http://schemas.openxmlformats.org/drawingml/2006/picture">
            <wp:extent cx="5029200" cy="5600313"/>
            <wp:docPr id="2" name="Picture 2"/>
            <wp:cNvGraphicFramePr>
              <a:graphicFrameLocks noChangeAspect="1"/>
            </wp:cNvGraphicFramePr>
            <a:graphic>
              <a:graphicData uri="http://schemas.openxmlformats.org/drawingml/2006/picture">
                <pic:pic>
                  <pic:nvPicPr>
                    <pic:cNvPr id="0" name="image012.jpg"/>
                    <pic:cNvPicPr/>
                  </pic:nvPicPr>
                  <pic:blipFill>
                    <a:blip r:embed="rId10"/>
                    <a:stretch>
                      <a:fillRect/>
                    </a:stretch>
                  </pic:blipFill>
                  <pic:spPr>
                    <a:xfrm>
                      <a:off x="0" y="0"/>
                      <a:ext cx="5029200" cy="5600313"/>
                    </a:xfrm>
                    <a:prstGeom prst="rect"/>
                  </pic:spPr>
                </pic:pic>
              </a:graphicData>
            </a:graphic>
          </wp:inline>
        </w:drawing>
      </w:r>
    </w:p>
    <w:p>
      <w:pPr>
        <w:jc w:val="center"/>
      </w:pPr>
      <w:r>
        <w:rPr>
          <w:rFonts w:ascii="Microsoft YaHei" w:hAnsi="Microsoft YaHei" w:eastAsia="Microsoft YaHei"/>
          <w:color w:val="808080"/>
          <w:sz w:val="20"/>
        </w:rPr>
        <w:t>图二 AHR、MR、LR型泵结构图</w:t>
      </w:r>
    </w:p>
    <w:p>
      <w:pPr>
        <w:jc w:val="center"/>
      </w:pPr>
      <w:r>
        <w:drawing>
          <wp:inline xmlns:a="http://schemas.openxmlformats.org/drawingml/2006/main" xmlns:pic="http://schemas.openxmlformats.org/drawingml/2006/picture">
            <wp:extent cx="5029200" cy="4087037"/>
            <wp:docPr id="3" name="Picture 3"/>
            <wp:cNvGraphicFramePr>
              <a:graphicFrameLocks noChangeAspect="1"/>
            </wp:cNvGraphicFramePr>
            <a:graphic>
              <a:graphicData uri="http://schemas.openxmlformats.org/drawingml/2006/picture">
                <pic:pic>
                  <pic:nvPicPr>
                    <pic:cNvPr id="0" name="image013.jpg"/>
                    <pic:cNvPicPr/>
                  </pic:nvPicPr>
                  <pic:blipFill>
                    <a:blip r:embed="rId11"/>
                    <a:stretch>
                      <a:fillRect/>
                    </a:stretch>
                  </pic:blipFill>
                  <pic:spPr>
                    <a:xfrm>
                      <a:off x="0" y="0"/>
                      <a:ext cx="5029200" cy="4087037"/>
                    </a:xfrm>
                    <a:prstGeom prst="rect"/>
                  </pic:spPr>
                </pic:pic>
              </a:graphicData>
            </a:graphic>
          </wp:inline>
        </w:drawing>
      </w:r>
    </w:p>
    <w:p>
      <w:pPr>
        <w:jc w:val="center"/>
      </w:pPr>
      <w:r>
        <w:rPr>
          <w:rFonts w:ascii="Microsoft YaHei" w:hAnsi="Microsoft YaHei" w:eastAsia="Microsoft YaHei"/>
          <w:color w:val="808080"/>
          <w:sz w:val="20"/>
        </w:rPr>
        <w:t>图三 L型泵结构图</w:t>
      </w:r>
    </w:p>
    <w:p>
      <w:pPr>
        <w:pStyle w:val="Heading1"/>
      </w:pPr>
      <w:r>
        <w:rPr>
          <w:rFonts w:ascii="Microsoft YaHei" w:hAnsi="Microsoft YaHei" w:eastAsia="Microsoft YaHei"/>
        </w:rPr>
        <w:t>三、装配注意事项</w:t>
      </w:r>
    </w:p>
    <w:p>
      <w:pPr>
        <w:pStyle w:val="Heading2"/>
      </w:pPr>
      <w:r>
        <w:rPr>
          <w:rFonts w:ascii="Microsoft YaHei" w:hAnsi="Microsoft YaHei" w:eastAsia="Microsoft YaHei"/>
        </w:rPr>
        <w:t>1、轴承组件装配（见轴承组件轴承图五、图六）</w:t>
      </w:r>
    </w:p>
    <w:p>
      <w:pPr>
        <w:ind w:firstLine="420"/>
      </w:pPr>
      <w:r>
        <w:rPr>
          <w:rFonts w:ascii="Microsoft YaHei" w:hAnsi="Microsoft YaHei" w:eastAsia="Microsoft YaHei"/>
          <w:b w:val="0"/>
          <w:sz w:val="24"/>
        </w:rPr>
        <w:t>装配时预热轴承内圈，温度不允许超过120℃，轴承内圈必须靠紧轴肩或黄油挡圈。对于双列圆锥滚子轴承，其内圈、外圈、定位套等是成套组件，不允许与同类轴承的相应零件互换。</w:t>
      </w:r>
    </w:p>
    <w:p>
      <w:pPr>
        <w:ind w:firstLine="420"/>
      </w:pPr>
      <w:r>
        <w:rPr>
          <w:rFonts w:ascii="Microsoft YaHei" w:hAnsi="Microsoft YaHei" w:eastAsia="Microsoft YaHei"/>
          <w:b w:val="0"/>
          <w:sz w:val="24"/>
        </w:rPr>
        <w:t>对于A、B、C、D、E、F、G型轴承组件，采用单列圆锥滚子轴承，装配时用调整轴承端盖处的垫来保证轴向间隔，轴向间隔值应符合下表：</w:t>
      </w:r>
    </w:p>
    <w:tbl>
      <w:tblPr>
        <w:tblStyle w:val="LightGrid-Accent1"/>
        <w:tblW w:type="auto" w:w="0"/>
        <w:jc w:val="center"/>
        <w:tblLook w:firstColumn="1" w:firstRow="1" w:lastColumn="0" w:lastRow="0" w:noHBand="0" w:noVBand="1" w:val="04A0"/>
      </w:tblPr>
      <w:tblGrid>
        <w:gridCol w:w="1235"/>
        <w:gridCol w:w="1235"/>
        <w:gridCol w:w="1235"/>
        <w:gridCol w:w="1235"/>
        <w:gridCol w:w="1235"/>
        <w:gridCol w:w="1235"/>
        <w:gridCol w:w="1235"/>
      </w:tblGrid>
      <w:tr>
        <w:tc>
          <w:tcPr>
            <w:tcW w:type="dxa" w:w="1235"/>
          </w:tcPr>
          <w:p>
            <w:pPr>
              <w:jc w:val="center"/>
            </w:pPr>
            <w:r>
              <w:rPr>
                <w:b/>
                <w:sz w:val="20"/>
              </w:rPr>
              <w:t>托架型式</w:t>
            </w:r>
          </w:p>
        </w:tc>
        <w:tc>
          <w:tcPr>
            <w:tcW w:type="dxa" w:w="1235"/>
          </w:tcPr>
          <w:p>
            <w:pPr>
              <w:jc w:val="center"/>
            </w:pPr>
            <w:r>
              <w:rPr>
                <w:b/>
                <w:sz w:val="20"/>
              </w:rPr>
              <w:t>A</w:t>
            </w:r>
          </w:p>
        </w:tc>
        <w:tc>
          <w:tcPr>
            <w:tcW w:type="dxa" w:w="1235"/>
          </w:tcPr>
          <w:p>
            <w:pPr>
              <w:jc w:val="center"/>
            </w:pPr>
            <w:r>
              <w:rPr>
                <w:b/>
                <w:sz w:val="20"/>
              </w:rPr>
              <w:t>B</w:t>
            </w:r>
          </w:p>
        </w:tc>
        <w:tc>
          <w:tcPr>
            <w:tcW w:type="dxa" w:w="1235"/>
          </w:tcPr>
          <w:p>
            <w:pPr>
              <w:jc w:val="center"/>
            </w:pPr>
            <w:r>
              <w:rPr>
                <w:b/>
                <w:sz w:val="20"/>
              </w:rPr>
              <w:t>C</w:t>
            </w:r>
          </w:p>
        </w:tc>
        <w:tc>
          <w:tcPr>
            <w:tcW w:type="dxa" w:w="1235"/>
          </w:tcPr>
          <w:p>
            <w:pPr>
              <w:jc w:val="center"/>
            </w:pPr>
            <w:r>
              <w:rPr>
                <w:b/>
                <w:sz w:val="20"/>
              </w:rPr>
              <w:t>D</w:t>
            </w:r>
          </w:p>
        </w:tc>
        <w:tc>
          <w:tcPr>
            <w:tcW w:type="dxa" w:w="1235"/>
          </w:tcPr>
          <w:p>
            <w:pPr>
              <w:jc w:val="center"/>
            </w:pPr>
            <w:r>
              <w:rPr>
                <w:b/>
                <w:sz w:val="20"/>
              </w:rPr>
              <w:t>E</w:t>
            </w:r>
          </w:p>
        </w:tc>
        <w:tc>
          <w:tcPr>
            <w:tcW w:type="dxa" w:w="1235"/>
          </w:tcPr>
          <w:p>
            <w:pPr>
              <w:jc w:val="center"/>
            </w:pPr>
            <w:r>
              <w:rPr>
                <w:b/>
                <w:sz w:val="20"/>
              </w:rPr>
              <w:t>F、G</w:t>
            </w:r>
          </w:p>
        </w:tc>
      </w:tr>
      <w:tr>
        <w:tc>
          <w:tcPr>
            <w:tcW w:type="dxa" w:w="1235"/>
          </w:tcPr>
          <w:p>
            <w:pPr>
              <w:jc w:val="center"/>
            </w:pPr>
            <w:r>
              <w:rPr>
                <w:sz w:val="20"/>
              </w:rPr>
              <w:t>轴向间隔mm</w:t>
            </w:r>
          </w:p>
        </w:tc>
        <w:tc>
          <w:tcPr>
            <w:tcW w:type="dxa" w:w="1235"/>
          </w:tcPr>
          <w:p>
            <w:pPr>
              <w:jc w:val="center"/>
            </w:pPr>
            <w:r>
              <w:rPr>
                <w:sz w:val="20"/>
              </w:rPr>
              <w:t>0.05-0.15</w:t>
            </w:r>
          </w:p>
        </w:tc>
        <w:tc>
          <w:tcPr>
            <w:tcW w:type="dxa" w:w="1235"/>
          </w:tcPr>
          <w:p>
            <w:pPr>
              <w:jc w:val="center"/>
            </w:pPr>
            <w:r>
              <w:rPr>
                <w:sz w:val="20"/>
              </w:rPr>
              <w:t>0.1-0.2</w:t>
            </w:r>
          </w:p>
        </w:tc>
        <w:tc>
          <w:tcPr>
            <w:tcW w:type="dxa" w:w="1235"/>
          </w:tcPr>
          <w:p>
            <w:pPr>
              <w:jc w:val="center"/>
            </w:pPr>
            <w:r>
              <w:rPr>
                <w:sz w:val="20"/>
              </w:rPr>
              <w:t>0.15-0.25</w:t>
            </w:r>
          </w:p>
        </w:tc>
        <w:tc>
          <w:tcPr>
            <w:tcW w:type="dxa" w:w="1235"/>
          </w:tcPr>
          <w:p>
            <w:pPr>
              <w:jc w:val="center"/>
            </w:pPr>
            <w:r>
              <w:rPr>
                <w:sz w:val="20"/>
              </w:rPr>
              <w:t>0.18-0.28</w:t>
            </w:r>
          </w:p>
        </w:tc>
        <w:tc>
          <w:tcPr>
            <w:tcW w:type="dxa" w:w="1235"/>
          </w:tcPr>
          <w:p>
            <w:pPr>
              <w:jc w:val="center"/>
            </w:pPr>
            <w:r>
              <w:rPr>
                <w:sz w:val="20"/>
              </w:rPr>
              <w:t>0.4-0.6</w:t>
            </w:r>
          </w:p>
        </w:tc>
        <w:tc>
          <w:tcPr>
            <w:tcW w:type="dxa" w:w="1235"/>
          </w:tcPr>
          <w:p>
            <w:pPr>
              <w:jc w:val="center"/>
            </w:pPr>
            <w:r>
              <w:rPr>
                <w:sz w:val="20"/>
              </w:rPr>
              <w:t>0.5-0.6</w:t>
            </w:r>
          </w:p>
        </w:tc>
      </w:tr>
    </w:tbl>
    <w:p>
      <w:pPr>
        <w:ind w:firstLine="420"/>
      </w:pPr>
      <w:r>
        <w:rPr>
          <w:rFonts w:ascii="Microsoft YaHei" w:hAnsi="Microsoft YaHei" w:eastAsia="Microsoft YaHei"/>
          <w:b w:val="0"/>
          <w:sz w:val="24"/>
        </w:rPr>
        <w:t>对于R、S、ST、T、TU、U轴承组件，泵端采用的是双列圆锥滚子轴承，由于轴承本身已保证了轴向间隙、故不需调整轴向间隙。</w:t>
      </w:r>
    </w:p>
    <w:p>
      <w:pPr>
        <w:ind w:firstLine="420"/>
      </w:pPr>
      <w:r>
        <w:rPr>
          <w:rFonts w:ascii="Microsoft YaHei" w:hAnsi="Microsoft YaHei" w:eastAsia="Microsoft YaHei"/>
          <w:b w:val="0"/>
          <w:sz w:val="24"/>
        </w:rPr>
        <w:t>轴承装配时注意加入适量的轴承润滑脂，轴承端盖处密封采用迷宫环和迷宫套，安装迷宫环时注意豁口在直径方向上相对布置。</w:t>
      </w:r>
    </w:p>
    <w:p>
      <w:pPr>
        <w:ind w:firstLine="420"/>
      </w:pPr>
      <w:r>
        <w:rPr>
          <w:rFonts w:ascii="Microsoft YaHei" w:hAnsi="Microsoft YaHei" w:eastAsia="Microsoft YaHei"/>
          <w:b w:val="0"/>
          <w:sz w:val="24"/>
        </w:rPr>
        <w:t>轴承润滑脂建议采用锂基润滑脂2#或3#。装配时加润滑脂量可参照下表：单位 克</w:t>
      </w:r>
    </w:p>
    <w:tbl>
      <w:tblPr>
        <w:tblStyle w:val="LightGrid-Accent1"/>
        <w:tblW w:type="auto" w:w="0"/>
        <w:jc w:val="center"/>
        <w:tblLook w:firstColumn="1" w:firstRow="1" w:lastColumn="0" w:lastRow="0" w:noHBand="0" w:noVBand="1" w:val="04A0"/>
      </w:tblPr>
      <w:tblGrid>
        <w:gridCol w:w="786"/>
        <w:gridCol w:w="786"/>
        <w:gridCol w:w="786"/>
        <w:gridCol w:w="786"/>
        <w:gridCol w:w="786"/>
        <w:gridCol w:w="786"/>
        <w:gridCol w:w="786"/>
        <w:gridCol w:w="786"/>
        <w:gridCol w:w="786"/>
        <w:gridCol w:w="786"/>
        <w:gridCol w:w="786"/>
      </w:tblGrid>
      <w:tr>
        <w:tc>
          <w:tcPr>
            <w:tcW w:type="dxa" w:w="786"/>
          </w:tcPr>
          <w:p>
            <w:pPr>
              <w:jc w:val="center"/>
            </w:pPr>
            <w:r>
              <w:rPr>
                <w:b/>
                <w:sz w:val="20"/>
              </w:rPr>
              <w:t>托架型式</w:t>
            </w:r>
          </w:p>
        </w:tc>
        <w:tc>
          <w:tcPr>
            <w:tcW w:type="dxa" w:w="786"/>
          </w:tcPr>
          <w:p>
            <w:pPr>
              <w:jc w:val="center"/>
            </w:pPr>
            <w:r>
              <w:rPr>
                <w:b/>
                <w:sz w:val="20"/>
              </w:rPr>
            </w:r>
          </w:p>
        </w:tc>
        <w:tc>
          <w:tcPr>
            <w:tcW w:type="dxa" w:w="786"/>
          </w:tcPr>
          <w:p>
            <w:pPr>
              <w:jc w:val="center"/>
            </w:pPr>
            <w:r>
              <w:rPr>
                <w:b/>
                <w:sz w:val="20"/>
              </w:rPr>
              <w:t>B</w:t>
            </w:r>
          </w:p>
        </w:tc>
        <w:tc>
          <w:tcPr>
            <w:tcW w:type="dxa" w:w="786"/>
          </w:tcPr>
          <w:p>
            <w:pPr>
              <w:jc w:val="center"/>
            </w:pPr>
            <w:r>
              <w:rPr>
                <w:b/>
                <w:sz w:val="20"/>
              </w:rPr>
              <w:t>C</w:t>
            </w:r>
          </w:p>
        </w:tc>
        <w:tc>
          <w:tcPr>
            <w:tcW w:type="dxa" w:w="786"/>
          </w:tcPr>
          <w:p>
            <w:pPr>
              <w:jc w:val="center"/>
            </w:pPr>
            <w:r>
              <w:rPr>
                <w:b/>
                <w:sz w:val="20"/>
              </w:rPr>
              <w:t>D</w:t>
            </w:r>
          </w:p>
        </w:tc>
        <w:tc>
          <w:tcPr>
            <w:tcW w:type="dxa" w:w="786"/>
          </w:tcPr>
          <w:p>
            <w:pPr>
              <w:jc w:val="center"/>
            </w:pPr>
            <w:r>
              <w:rPr>
                <w:b/>
                <w:sz w:val="20"/>
              </w:rPr>
              <w:t>E</w:t>
            </w:r>
          </w:p>
        </w:tc>
        <w:tc>
          <w:tcPr>
            <w:tcW w:type="dxa" w:w="786"/>
          </w:tcPr>
          <w:p>
            <w:pPr>
              <w:jc w:val="center"/>
            </w:pPr>
            <w:r>
              <w:rPr>
                <w:b/>
                <w:sz w:val="20"/>
              </w:rPr>
              <w:t>F</w:t>
            </w:r>
          </w:p>
        </w:tc>
        <w:tc>
          <w:tcPr>
            <w:tcW w:type="dxa" w:w="786"/>
          </w:tcPr>
          <w:p>
            <w:pPr>
              <w:jc w:val="center"/>
            </w:pPr>
            <w:r>
              <w:rPr>
                <w:b/>
                <w:sz w:val="20"/>
              </w:rPr>
              <w:t>G</w:t>
            </w:r>
          </w:p>
        </w:tc>
        <w:tc>
          <w:tcPr>
            <w:tcW w:type="dxa" w:w="786"/>
          </w:tcPr>
          <w:p>
            <w:pPr>
              <w:jc w:val="center"/>
            </w:pPr>
            <w:r>
              <w:rPr>
                <w:b/>
                <w:sz w:val="20"/>
              </w:rPr>
              <w:t>R、RS</w:t>
            </w:r>
          </w:p>
        </w:tc>
        <w:tc>
          <w:tcPr>
            <w:tcW w:type="dxa" w:w="786"/>
          </w:tcPr>
          <w:p>
            <w:pPr>
              <w:jc w:val="center"/>
            </w:pPr>
            <w:r>
              <w:rPr>
                <w:b/>
                <w:sz w:val="20"/>
              </w:rPr>
              <w:t>S、ST</w:t>
            </w:r>
          </w:p>
        </w:tc>
        <w:tc>
          <w:tcPr>
            <w:tcW w:type="dxa" w:w="786"/>
          </w:tcPr>
          <w:p>
            <w:pPr>
              <w:jc w:val="center"/>
            </w:pPr>
            <w:r>
              <w:rPr>
                <w:b/>
                <w:sz w:val="20"/>
              </w:rPr>
              <w:t>T、TU</w:t>
            </w:r>
          </w:p>
        </w:tc>
      </w:tr>
      <w:tr>
        <w:tc>
          <w:tcPr>
            <w:tcW w:type="dxa" w:w="786"/>
          </w:tcPr>
          <w:p>
            <w:pPr>
              <w:jc w:val="center"/>
            </w:pPr>
            <w:r>
              <w:rPr>
                <w:sz w:val="20"/>
              </w:rPr>
              <w:t>润滑脂量</w:t>
            </w:r>
          </w:p>
        </w:tc>
        <w:tc>
          <w:tcPr>
            <w:tcW w:type="dxa" w:w="786"/>
          </w:tcPr>
          <w:p>
            <w:pPr>
              <w:jc w:val="center"/>
            </w:pPr>
            <w:r>
              <w:rPr>
                <w:sz w:val="20"/>
              </w:rPr>
              <w:t>驱动端轴承</w:t>
            </w:r>
          </w:p>
        </w:tc>
        <w:tc>
          <w:tcPr>
            <w:tcW w:type="dxa" w:w="786"/>
          </w:tcPr>
          <w:p>
            <w:pPr>
              <w:jc w:val="center"/>
            </w:pPr>
            <w:r>
              <w:rPr>
                <w:sz w:val="20"/>
              </w:rPr>
              <w:t>30</w:t>
            </w:r>
          </w:p>
        </w:tc>
        <w:tc>
          <w:tcPr>
            <w:tcW w:type="dxa" w:w="786"/>
          </w:tcPr>
          <w:p>
            <w:pPr>
              <w:jc w:val="center"/>
            </w:pPr>
            <w:r>
              <w:rPr>
                <w:sz w:val="20"/>
              </w:rPr>
              <w:t>50</w:t>
            </w:r>
          </w:p>
        </w:tc>
        <w:tc>
          <w:tcPr>
            <w:tcW w:type="dxa" w:w="786"/>
          </w:tcPr>
          <w:p>
            <w:pPr>
              <w:jc w:val="center"/>
            </w:pPr>
            <w:r>
              <w:rPr>
                <w:sz w:val="20"/>
              </w:rPr>
              <w:t>100</w:t>
            </w:r>
          </w:p>
        </w:tc>
        <w:tc>
          <w:tcPr>
            <w:tcW w:type="dxa" w:w="786"/>
          </w:tcPr>
          <w:p>
            <w:pPr>
              <w:jc w:val="center"/>
            </w:pPr>
            <w:r>
              <w:rPr>
                <w:sz w:val="20"/>
              </w:rPr>
              <w:t>200</w:t>
            </w:r>
          </w:p>
        </w:tc>
        <w:tc>
          <w:tcPr>
            <w:tcW w:type="dxa" w:w="786"/>
          </w:tcPr>
          <w:p>
            <w:pPr>
              <w:jc w:val="center"/>
            </w:pPr>
            <w:r>
              <w:rPr>
                <w:sz w:val="20"/>
              </w:rPr>
              <w:t>500</w:t>
            </w:r>
          </w:p>
        </w:tc>
        <w:tc>
          <w:tcPr>
            <w:tcW w:type="dxa" w:w="786"/>
          </w:tcPr>
          <w:p>
            <w:pPr>
              <w:jc w:val="center"/>
            </w:pPr>
            <w:r>
              <w:rPr>
                <w:sz w:val="20"/>
              </w:rPr>
              <w:t>1150</w:t>
            </w:r>
          </w:p>
        </w:tc>
        <w:tc>
          <w:tcPr>
            <w:tcW w:type="dxa" w:w="786"/>
          </w:tcPr>
          <w:p>
            <w:pPr>
              <w:jc w:val="center"/>
            </w:pPr>
            <w:r>
              <w:rPr>
                <w:sz w:val="20"/>
              </w:rPr>
              <w:t>200</w:t>
            </w:r>
          </w:p>
        </w:tc>
        <w:tc>
          <w:tcPr>
            <w:tcW w:type="dxa" w:w="786"/>
          </w:tcPr>
          <w:p>
            <w:pPr>
              <w:jc w:val="center"/>
            </w:pPr>
            <w:r>
              <w:rPr>
                <w:sz w:val="20"/>
              </w:rPr>
              <w:t>500</w:t>
            </w:r>
          </w:p>
        </w:tc>
        <w:tc>
          <w:tcPr>
            <w:tcW w:type="dxa" w:w="786"/>
          </w:tcPr>
          <w:p>
            <w:pPr>
              <w:jc w:val="center"/>
            </w:pPr>
            <w:r>
              <w:rPr>
                <w:sz w:val="20"/>
              </w:rPr>
              <w:t>1150</w:t>
            </w:r>
          </w:p>
        </w:tc>
      </w:tr>
      <w:tr>
        <w:tc>
          <w:tcPr>
            <w:tcW w:type="dxa" w:w="786"/>
          </w:tcPr>
          <w:p>
            <w:pPr>
              <w:jc w:val="center"/>
            </w:pPr>
            <w:r>
              <w:rPr>
                <w:sz w:val="20"/>
              </w:rPr>
            </w:r>
          </w:p>
        </w:tc>
        <w:tc>
          <w:tcPr>
            <w:tcW w:type="dxa" w:w="786"/>
          </w:tcPr>
          <w:p>
            <w:pPr>
              <w:jc w:val="center"/>
            </w:pPr>
            <w:r>
              <w:rPr>
                <w:sz w:val="20"/>
              </w:rPr>
              <w:t>泵端轴承</w:t>
            </w:r>
          </w:p>
        </w:tc>
        <w:tc>
          <w:tcPr>
            <w:tcW w:type="dxa" w:w="786"/>
          </w:tcPr>
          <w:p>
            <w:pPr>
              <w:jc w:val="center"/>
            </w:pPr>
            <w:r>
              <w:rPr>
                <w:sz w:val="20"/>
              </w:rPr>
              <w:t>30</w:t>
            </w:r>
          </w:p>
        </w:tc>
        <w:tc>
          <w:tcPr>
            <w:tcW w:type="dxa" w:w="786"/>
          </w:tcPr>
          <w:p>
            <w:pPr>
              <w:jc w:val="center"/>
            </w:pPr>
            <w:r>
              <w:rPr>
                <w:sz w:val="20"/>
              </w:rPr>
              <w:t>50</w:t>
            </w:r>
          </w:p>
        </w:tc>
        <w:tc>
          <w:tcPr>
            <w:tcW w:type="dxa" w:w="786"/>
          </w:tcPr>
          <w:p>
            <w:pPr>
              <w:jc w:val="center"/>
            </w:pPr>
            <w:r>
              <w:rPr>
                <w:sz w:val="20"/>
              </w:rPr>
              <w:t>100</w:t>
            </w:r>
          </w:p>
        </w:tc>
        <w:tc>
          <w:tcPr>
            <w:tcW w:type="dxa" w:w="786"/>
          </w:tcPr>
          <w:p>
            <w:pPr>
              <w:jc w:val="center"/>
            </w:pPr>
            <w:r>
              <w:rPr>
                <w:sz w:val="20"/>
              </w:rPr>
              <w:t>200</w:t>
            </w:r>
          </w:p>
        </w:tc>
        <w:tc>
          <w:tcPr>
            <w:tcW w:type="dxa" w:w="786"/>
          </w:tcPr>
          <w:p>
            <w:pPr>
              <w:jc w:val="center"/>
            </w:pPr>
            <w:r>
              <w:rPr>
                <w:sz w:val="20"/>
              </w:rPr>
              <w:t>500</w:t>
            </w:r>
          </w:p>
        </w:tc>
        <w:tc>
          <w:tcPr>
            <w:tcW w:type="dxa" w:w="786"/>
          </w:tcPr>
          <w:p>
            <w:pPr>
              <w:jc w:val="center"/>
            </w:pPr>
            <w:r>
              <w:rPr>
                <w:sz w:val="20"/>
              </w:rPr>
              <w:t>1150</w:t>
            </w:r>
          </w:p>
        </w:tc>
        <w:tc>
          <w:tcPr>
            <w:tcW w:type="dxa" w:w="786"/>
          </w:tcPr>
          <w:p>
            <w:pPr>
              <w:jc w:val="center"/>
            </w:pPr>
            <w:r>
              <w:rPr>
                <w:sz w:val="20"/>
              </w:rPr>
              <w:t>400</w:t>
            </w:r>
          </w:p>
        </w:tc>
        <w:tc>
          <w:tcPr>
            <w:tcW w:type="dxa" w:w="786"/>
          </w:tcPr>
          <w:p>
            <w:pPr>
              <w:jc w:val="center"/>
            </w:pPr>
            <w:r>
              <w:rPr>
                <w:sz w:val="20"/>
              </w:rPr>
              <w:t>1000</w:t>
            </w:r>
          </w:p>
        </w:tc>
        <w:tc>
          <w:tcPr>
            <w:tcW w:type="dxa" w:w="786"/>
          </w:tcPr>
          <w:p>
            <w:pPr>
              <w:jc w:val="center"/>
            </w:pPr>
            <w:r>
              <w:rPr>
                <w:sz w:val="20"/>
              </w:rPr>
              <w:t>2300</w:t>
            </w:r>
          </w:p>
        </w:tc>
      </w:tr>
    </w:tbl>
    <w:p>
      <w:pPr>
        <w:pStyle w:val="Heading2"/>
      </w:pPr>
      <w:r>
        <w:rPr>
          <w:rFonts w:ascii="Microsoft YaHei" w:hAnsi="Microsoft YaHei" w:eastAsia="Microsoft YaHei"/>
        </w:rPr>
        <w:t>2、填料轴封组件的装配</w:t>
      </w:r>
    </w:p>
    <w:p>
      <w:pPr>
        <w:ind w:firstLine="420"/>
      </w:pPr>
      <w:r>
        <w:rPr>
          <w:rFonts w:ascii="Microsoft YaHei" w:hAnsi="Microsoft YaHei" w:eastAsia="Microsoft YaHei"/>
          <w:b w:val="0"/>
          <w:sz w:val="24"/>
        </w:rPr>
        <w:t>填料轴封组件包括填料箱，轴套，定位套、密封圈、填料、填料垫、水封环及填料压盖等零件，水封环分两种结构，安装图见图七图八。图七为标准安装型式。在泵吸上使用时可选用图八的安装方式。安装时注意轴套及定位套间的密封圈必须安装在正确位置。</w:t>
      </w:r>
    </w:p>
    <w:p>
      <w:pPr>
        <w:ind w:firstLine="420"/>
      </w:pPr>
      <w:r>
        <w:rPr>
          <w:rFonts w:ascii="Microsoft YaHei" w:hAnsi="Microsoft YaHei" w:eastAsia="Microsoft YaHei"/>
          <w:b w:val="0"/>
          <w:sz w:val="24"/>
        </w:rPr>
        <w:t>填料的选择：当泵的工作压力在1MPa(10kgf/cm2)以下时一般采用石棉纤维浸云母的填料，压力高于1MPa(10kgf/cm2)或泵送腐蚀性渣浆时采用石棉纤维浸聚四氟乙烯的填料。</w:t>
      </w:r>
    </w:p>
    <w:p>
      <w:pPr>
        <w:jc w:val="center"/>
      </w:pPr>
      <w:r>
        <w:drawing>
          <wp:inline xmlns:a="http://schemas.openxmlformats.org/drawingml/2006/main" xmlns:pic="http://schemas.openxmlformats.org/drawingml/2006/picture">
            <wp:extent cx="5029200" cy="6169649"/>
            <wp:docPr id="4" name="Picture 4"/>
            <wp:cNvGraphicFramePr>
              <a:graphicFrameLocks noChangeAspect="1"/>
            </wp:cNvGraphicFramePr>
            <a:graphic>
              <a:graphicData uri="http://schemas.openxmlformats.org/drawingml/2006/picture">
                <pic:pic>
                  <pic:nvPicPr>
                    <pic:cNvPr id="0" name="image015.jpg"/>
                    <pic:cNvPicPr/>
                  </pic:nvPicPr>
                  <pic:blipFill>
                    <a:blip r:embed="rId12"/>
                    <a:stretch>
                      <a:fillRect/>
                    </a:stretch>
                  </pic:blipFill>
                  <pic:spPr>
                    <a:xfrm>
                      <a:off x="0" y="0"/>
                      <a:ext cx="5029200" cy="6169649"/>
                    </a:xfrm>
                    <a:prstGeom prst="rect"/>
                  </pic:spPr>
                </pic:pic>
              </a:graphicData>
            </a:graphic>
          </wp:inline>
        </w:drawing>
      </w:r>
    </w:p>
    <w:p>
      <w:pPr>
        <w:jc w:val="center"/>
      </w:pPr>
      <w:r>
        <w:rPr>
          <w:rFonts w:ascii="Microsoft YaHei" w:hAnsi="Microsoft YaHei" w:eastAsia="Microsoft YaHei"/>
          <w:color w:val="808080"/>
          <w:sz w:val="20"/>
        </w:rPr>
        <w:t>图七 填料轴封组件标准安装型式</w:t>
      </w:r>
    </w:p>
    <w:p>
      <w:pPr>
        <w:jc w:val="center"/>
      </w:pPr>
      <w:r>
        <w:drawing>
          <wp:inline xmlns:a="http://schemas.openxmlformats.org/drawingml/2006/main" xmlns:pic="http://schemas.openxmlformats.org/drawingml/2006/picture">
            <wp:extent cx="5029200" cy="4908307"/>
            <wp:docPr id="5" name="Picture 5"/>
            <wp:cNvGraphicFramePr>
              <a:graphicFrameLocks noChangeAspect="1"/>
            </wp:cNvGraphicFramePr>
            <a:graphic>
              <a:graphicData uri="http://schemas.openxmlformats.org/drawingml/2006/picture">
                <pic:pic>
                  <pic:nvPicPr>
                    <pic:cNvPr id="0" name="image016.jpg"/>
                    <pic:cNvPicPr/>
                  </pic:nvPicPr>
                  <pic:blipFill>
                    <a:blip r:embed="rId13"/>
                    <a:stretch>
                      <a:fillRect/>
                    </a:stretch>
                  </pic:blipFill>
                  <pic:spPr>
                    <a:xfrm>
                      <a:off x="0" y="0"/>
                      <a:ext cx="5029200" cy="4908307"/>
                    </a:xfrm>
                    <a:prstGeom prst="rect"/>
                  </pic:spPr>
                </pic:pic>
              </a:graphicData>
            </a:graphic>
          </wp:inline>
        </w:drawing>
      </w:r>
    </w:p>
    <w:p>
      <w:pPr>
        <w:jc w:val="center"/>
      </w:pPr>
      <w:r>
        <w:rPr>
          <w:rFonts w:ascii="Microsoft YaHei" w:hAnsi="Microsoft YaHei" w:eastAsia="Microsoft YaHei"/>
          <w:color w:val="808080"/>
          <w:sz w:val="20"/>
        </w:rPr>
        <w:t>图八 填料轴封组件另一种安装方式</w:t>
      </w:r>
    </w:p>
    <w:p>
      <w:pPr>
        <w:jc w:val="center"/>
      </w:pPr>
      <w:r>
        <w:drawing>
          <wp:inline xmlns:a="http://schemas.openxmlformats.org/drawingml/2006/main" xmlns:pic="http://schemas.openxmlformats.org/drawingml/2006/picture">
            <wp:extent cx="5029200" cy="6311680"/>
            <wp:docPr id="6" name="Picture 6"/>
            <wp:cNvGraphicFramePr>
              <a:graphicFrameLocks noChangeAspect="1"/>
            </wp:cNvGraphicFramePr>
            <a:graphic>
              <a:graphicData uri="http://schemas.openxmlformats.org/drawingml/2006/picture">
                <pic:pic>
                  <pic:nvPicPr>
                    <pic:cNvPr id="0" name="image017.jpg"/>
                    <pic:cNvPicPr/>
                  </pic:nvPicPr>
                  <pic:blipFill>
                    <a:blip r:embed="rId14"/>
                    <a:stretch>
                      <a:fillRect/>
                    </a:stretch>
                  </pic:blipFill>
                  <pic:spPr>
                    <a:xfrm>
                      <a:off x="0" y="0"/>
                      <a:ext cx="5029200" cy="6311680"/>
                    </a:xfrm>
                    <a:prstGeom prst="rect"/>
                  </pic:spPr>
                </pic:pic>
              </a:graphicData>
            </a:graphic>
          </wp:inline>
        </w:drawing>
      </w:r>
    </w:p>
    <w:p>
      <w:pPr>
        <w:jc w:val="center"/>
      </w:pPr>
      <w:r>
        <w:rPr>
          <w:rFonts w:ascii="Microsoft YaHei" w:hAnsi="Microsoft YaHei" w:eastAsia="Microsoft YaHei"/>
          <w:color w:val="808080"/>
          <w:sz w:val="20"/>
        </w:rPr>
        <w:t>填料轴封组件结构图</w:t>
      </w:r>
    </w:p>
    <w:p>
      <w:pPr>
        <w:pStyle w:val="Heading2"/>
      </w:pPr>
      <w:r>
        <w:rPr>
          <w:rFonts w:ascii="Microsoft YaHei" w:hAnsi="Microsoft YaHei" w:eastAsia="Microsoft YaHei"/>
        </w:rPr>
        <w:t>3、副叶轮轴封组件的安装（见图九、图十）</w:t>
      </w:r>
    </w:p>
    <w:p>
      <w:pPr>
        <w:ind w:firstLine="420"/>
      </w:pPr>
      <w:r>
        <w:rPr>
          <w:rFonts w:ascii="Microsoft YaHei" w:hAnsi="Microsoft YaHei" w:eastAsia="Microsoft YaHei"/>
          <w:b w:val="0"/>
          <w:sz w:val="24"/>
        </w:rPr>
        <w:t>副叶轮轴封组件包括副叶轮，减压盖、轴套、定位套等零件，采用橡胶减压盖时用唇口密封圈和唇口密封压盖，采用金属减压盖时用填料、填料垫、水封环和填料压盖，用户根据使用条件不同可进行选择，组装时注意各密封圈的位置必须安装正确。</w:t>
      </w:r>
    </w:p>
    <w:p>
      <w:pPr>
        <w:jc w:val="center"/>
      </w:pPr>
      <w:r>
        <w:drawing>
          <wp:inline xmlns:a="http://schemas.openxmlformats.org/drawingml/2006/main" xmlns:pic="http://schemas.openxmlformats.org/drawingml/2006/picture">
            <wp:extent cx="5029200" cy="6238874"/>
            <wp:docPr id="7" name="Picture 7"/>
            <wp:cNvGraphicFramePr>
              <a:graphicFrameLocks noChangeAspect="1"/>
            </wp:cNvGraphicFramePr>
            <a:graphic>
              <a:graphicData uri="http://schemas.openxmlformats.org/drawingml/2006/picture">
                <pic:pic>
                  <pic:nvPicPr>
                    <pic:cNvPr id="0" name="image018.jpg"/>
                    <pic:cNvPicPr/>
                  </pic:nvPicPr>
                  <pic:blipFill>
                    <a:blip r:embed="rId15"/>
                    <a:stretch>
                      <a:fillRect/>
                    </a:stretch>
                  </pic:blipFill>
                  <pic:spPr>
                    <a:xfrm>
                      <a:off x="0" y="0"/>
                      <a:ext cx="5029200" cy="6238874"/>
                    </a:xfrm>
                    <a:prstGeom prst="rect"/>
                  </pic:spPr>
                </pic:pic>
              </a:graphicData>
            </a:graphic>
          </wp:inline>
        </w:drawing>
      </w:r>
    </w:p>
    <w:p>
      <w:pPr>
        <w:jc w:val="center"/>
      </w:pPr>
      <w:r>
        <w:rPr>
          <w:rFonts w:ascii="Microsoft YaHei" w:hAnsi="Microsoft YaHei" w:eastAsia="Microsoft YaHei"/>
          <w:color w:val="808080"/>
          <w:sz w:val="20"/>
        </w:rPr>
        <w:t>图九 副叶轮轴封组件安装图</w:t>
      </w:r>
    </w:p>
    <w:p>
      <w:pPr>
        <w:jc w:val="center"/>
      </w:pPr>
      <w:r>
        <w:drawing>
          <wp:inline xmlns:a="http://schemas.openxmlformats.org/drawingml/2006/main" xmlns:pic="http://schemas.openxmlformats.org/drawingml/2006/picture">
            <wp:extent cx="5029200" cy="5860607"/>
            <wp:docPr id="8" name="Picture 8"/>
            <wp:cNvGraphicFramePr>
              <a:graphicFrameLocks noChangeAspect="1"/>
            </wp:cNvGraphicFramePr>
            <a:graphic>
              <a:graphicData uri="http://schemas.openxmlformats.org/drawingml/2006/picture">
                <pic:pic>
                  <pic:nvPicPr>
                    <pic:cNvPr id="0" name="image019.jpg"/>
                    <pic:cNvPicPr/>
                  </pic:nvPicPr>
                  <pic:blipFill>
                    <a:blip r:embed="rId16"/>
                    <a:stretch>
                      <a:fillRect/>
                    </a:stretch>
                  </pic:blipFill>
                  <pic:spPr>
                    <a:xfrm>
                      <a:off x="0" y="0"/>
                      <a:ext cx="5029200" cy="5860607"/>
                    </a:xfrm>
                    <a:prstGeom prst="rect"/>
                  </pic:spPr>
                </pic:pic>
              </a:graphicData>
            </a:graphic>
          </wp:inline>
        </w:drawing>
      </w:r>
    </w:p>
    <w:p>
      <w:pPr>
        <w:jc w:val="center"/>
      </w:pPr>
      <w:r>
        <w:rPr>
          <w:rFonts w:ascii="Microsoft YaHei" w:hAnsi="Microsoft YaHei" w:eastAsia="Microsoft YaHei"/>
          <w:color w:val="808080"/>
          <w:sz w:val="20"/>
        </w:rPr>
        <w:t>图十 副叶轮轴封组件安装图</w:t>
      </w:r>
    </w:p>
    <w:p>
      <w:pPr>
        <w:pStyle w:val="Heading2"/>
      </w:pPr>
      <w:r>
        <w:rPr>
          <w:rFonts w:ascii="Microsoft YaHei" w:hAnsi="Microsoft YaHei" w:eastAsia="Microsoft YaHei"/>
        </w:rPr>
        <w:t>4、泵头部分组装</w:t>
      </w:r>
    </w:p>
    <w:p>
      <w:pPr>
        <w:ind w:firstLine="420"/>
      </w:pPr>
      <w:r>
        <w:rPr>
          <w:rFonts w:ascii="Microsoft YaHei" w:hAnsi="Microsoft YaHei" w:eastAsia="Microsoft YaHei"/>
          <w:b w:val="0"/>
          <w:sz w:val="24"/>
        </w:rPr>
        <w:t>在泵体内装入密封圈，再用后护板定位螺母装上后护板、叶轮、再装护套，然后用螺栓及固定压板将护套压在泵体上，最后装前护板、泵盖、橡胶衬里泵则应将前护套先装入泵盖，拧紧螺栓，再将泵盖与泵体合装，装胶件时为便于装配可在配合面处涂肥皂水或橡胶润滑液，装配时须注意各密封垫须放在正确位置并压紧，为保证各零件的相互正确位置及便于装配，可选用后护板和后护套吊管*302，后护板和后护套定位螺母*303及护套吊梁*304装配工具，使用方法见示意图十一。</w:t>
      </w:r>
    </w:p>
    <w:p>
      <w:pPr>
        <w:jc w:val="center"/>
      </w:pPr>
      <w:r>
        <w:drawing>
          <wp:inline xmlns:a="http://schemas.openxmlformats.org/drawingml/2006/main" xmlns:pic="http://schemas.openxmlformats.org/drawingml/2006/picture">
            <wp:extent cx="5029200" cy="3377821"/>
            <wp:docPr id="9" name="Picture 9"/>
            <wp:cNvGraphicFramePr>
              <a:graphicFrameLocks noChangeAspect="1"/>
            </wp:cNvGraphicFramePr>
            <a:graphic>
              <a:graphicData uri="http://schemas.openxmlformats.org/drawingml/2006/picture">
                <pic:pic>
                  <pic:nvPicPr>
                    <pic:cNvPr id="0" name="image020.jpg"/>
                    <pic:cNvPicPr/>
                  </pic:nvPicPr>
                  <pic:blipFill>
                    <a:blip r:embed="rId17"/>
                    <a:stretch>
                      <a:fillRect/>
                    </a:stretch>
                  </pic:blipFill>
                  <pic:spPr>
                    <a:xfrm>
                      <a:off x="0" y="0"/>
                      <a:ext cx="5029200" cy="3377821"/>
                    </a:xfrm>
                    <a:prstGeom prst="rect"/>
                  </pic:spPr>
                </pic:pic>
              </a:graphicData>
            </a:graphic>
          </wp:inline>
        </w:drawing>
      </w:r>
    </w:p>
    <w:p>
      <w:pPr>
        <w:jc w:val="center"/>
      </w:pPr>
      <w:r>
        <w:rPr>
          <w:rFonts w:ascii="Microsoft YaHei" w:hAnsi="Microsoft YaHei" w:eastAsia="Microsoft YaHei"/>
          <w:color w:val="808080"/>
          <w:sz w:val="20"/>
        </w:rPr>
        <w:t>图十一 泵头部分组装示意图</w:t>
      </w:r>
    </w:p>
    <w:p>
      <w:pPr>
        <w:pStyle w:val="Heading2"/>
      </w:pPr>
      <w:r>
        <w:rPr>
          <w:rFonts w:ascii="Microsoft YaHei" w:hAnsi="Microsoft YaHei" w:eastAsia="Microsoft YaHei"/>
        </w:rPr>
        <w:t>5、拆卸环</w:t>
      </w:r>
    </w:p>
    <w:p>
      <w:pPr>
        <w:ind w:firstLine="420"/>
      </w:pPr>
      <w:r>
        <w:rPr>
          <w:rFonts w:ascii="Microsoft YaHei" w:hAnsi="Microsoft YaHei" w:eastAsia="Microsoft YaHei"/>
          <w:b w:val="0"/>
          <w:sz w:val="24"/>
        </w:rPr>
        <w:t>对于大功率的R、S、ST、T、TU、U轴承组件的泵带有拆卸环，拆卸时应先拆卸其上的三个内六角螺栓，将其拧入拆卸环上的另三个螺孔中，从轴上顶起拆卸环的三个环块，然后才能松开叶轮。</w:t>
      </w:r>
    </w:p>
    <w:p>
      <w:pPr>
        <w:pStyle w:val="Heading1"/>
      </w:pPr>
      <w:r>
        <w:rPr>
          <w:rFonts w:ascii="Microsoft YaHei" w:hAnsi="Microsoft YaHei" w:eastAsia="Microsoft YaHei"/>
        </w:rPr>
        <w:t>四、运 转</w:t>
      </w:r>
    </w:p>
    <w:p>
      <w:pPr>
        <w:pStyle w:val="Heading2"/>
      </w:pPr>
      <w:r>
        <w:rPr>
          <w:rFonts w:ascii="Microsoft YaHei" w:hAnsi="Microsoft YaHei" w:eastAsia="Microsoft YaHei"/>
        </w:rPr>
        <w:t>1、起动：</w:t>
      </w:r>
    </w:p>
    <w:p>
      <w:pPr>
        <w:ind w:firstLine="420"/>
      </w:pPr>
      <w:r>
        <w:rPr>
          <w:rFonts w:ascii="Microsoft YaHei" w:hAnsi="Microsoft YaHei" w:eastAsia="Microsoft YaHei"/>
          <w:b w:val="0"/>
          <w:sz w:val="24"/>
        </w:rPr>
        <w:t>起动前应按下列步骤检查整个机组。</w:t>
      </w:r>
    </w:p>
    <w:p>
      <w:pPr>
        <w:ind w:firstLine="420"/>
      </w:pPr>
      <w:r>
        <w:rPr>
          <w:rFonts w:ascii="Microsoft YaHei" w:hAnsi="Microsoft YaHei" w:eastAsia="Microsoft YaHei"/>
          <w:b w:val="0"/>
          <w:sz w:val="24"/>
        </w:rPr>
        <w:t>（1）泵应安放在牢固的基础上，以承受泵的全部重量消除振动，拧紧全部地脚螺栓。</w:t>
      </w:r>
    </w:p>
    <w:p>
      <w:pPr>
        <w:ind w:firstLine="420"/>
      </w:pPr>
      <w:r>
        <w:rPr>
          <w:rFonts w:ascii="Microsoft YaHei" w:hAnsi="Microsoft YaHei" w:eastAsia="Microsoft YaHei"/>
          <w:b w:val="0"/>
          <w:sz w:val="24"/>
        </w:rPr>
        <w:t>（2）管路和阀门应分别支撑。泵法兰处有密封垫、拧紧联接螺栓时应注意有的泵金属内衬高出法兰，此时螺栓不应拧的过紧，以免损坏密封垫。</w:t>
      </w:r>
    </w:p>
    <w:p>
      <w:pPr>
        <w:ind w:firstLine="420"/>
      </w:pPr>
      <w:r>
        <w:rPr>
          <w:rFonts w:ascii="Microsoft YaHei" w:hAnsi="Microsoft YaHei" w:eastAsia="Microsoft YaHei"/>
          <w:b w:val="0"/>
          <w:sz w:val="24"/>
        </w:rPr>
        <w:t>（3）用手按泵转动方向转动轴、轴应能带动叶轮转动、不应有摩擦，否则应调叶轮间隙。</w:t>
      </w:r>
    </w:p>
    <w:p>
      <w:pPr>
        <w:ind w:firstLine="420"/>
      </w:pPr>
      <w:r>
        <w:rPr>
          <w:rFonts w:ascii="Microsoft YaHei" w:hAnsi="Microsoft YaHei" w:eastAsia="Microsoft YaHei"/>
          <w:b w:val="0"/>
          <w:sz w:val="24"/>
        </w:rPr>
        <w:t>（4）检查电机转向，要保证泵按泵体上所标出的箭头方向转动，注意泵不允许反向转动，否则叶轮螺纹会脱扣，以致造成泵的损坏。</w:t>
      </w:r>
    </w:p>
    <w:p>
      <w:pPr>
        <w:ind w:firstLine="420"/>
      </w:pPr>
      <w:r>
        <w:rPr>
          <w:rFonts w:ascii="Microsoft YaHei" w:hAnsi="Microsoft YaHei" w:eastAsia="Microsoft YaHei"/>
          <w:b w:val="0"/>
          <w:sz w:val="24"/>
        </w:rPr>
        <w:t>（5）直联传动时，泵轴和电机轴应精确对中，皮带传动时泵轴和电机轴应平行，并调整槽轮位置，使其与槽带垂直，以免引起剧烈的振动和磨损。对SPA与型及SPB与型槽轮配组使用时应调整槽轮到达图十三中α1=α2的要求。</w:t>
      </w:r>
    </w:p>
    <w:p>
      <w:pPr>
        <w:ind w:firstLine="420"/>
      </w:pPr>
      <w:r>
        <w:rPr>
          <w:rFonts w:ascii="Microsoft YaHei" w:hAnsi="Microsoft YaHei" w:eastAsia="Microsoft YaHei"/>
          <w:b w:val="0"/>
          <w:sz w:val="24"/>
        </w:rPr>
        <w:t>（6）在泵的吸入管处应装配一段可拆卸的短管，其长度应足以拆开泵盖和更换易损件，便于泵的检修，其长度见各泵的外形尺寸图。</w:t>
      </w:r>
    </w:p>
    <w:p>
      <w:pPr>
        <w:ind w:firstLine="420"/>
      </w:pPr>
      <w:r>
        <w:rPr>
          <w:rFonts w:ascii="Microsoft YaHei" w:hAnsi="Microsoft YaHei" w:eastAsia="Microsoft YaHei"/>
          <w:b w:val="0"/>
          <w:sz w:val="24"/>
        </w:rPr>
        <w:t>（7）轴封检查：副叶轮轴封的泵、由于其停车密封结构的不同，故当减压盖上装有油杯时，则需通过油杯加润滑脂，润滑脂推荐用钙钠基润滑脂。</w:t>
      </w:r>
    </w:p>
    <w:p>
      <w:pPr>
        <w:ind w:firstLine="420"/>
      </w:pPr>
      <w:r>
        <w:rPr>
          <w:rFonts w:ascii="Microsoft YaHei" w:hAnsi="Microsoft YaHei" w:eastAsia="Microsoft YaHei"/>
          <w:b w:val="0"/>
          <w:sz w:val="24"/>
        </w:rPr>
        <w:t>填料密封泵应在起动前打开轴封水并检查轴封水量、水压是否合适，调节填料压盖压紧螺钉，以调节填料的松紧程度，调节轴封水，从填料压盖处的泄漏量一滴滴渗出为好，填料太紧，轴套易发热，同时耗费功率，填料太松则液体泄漏量太大。轴封水压一般高于出口压力3.5×10⁻² MPa(0.35kgf/cm²)，轴封水量一般建议按下表：</w:t>
      </w:r>
    </w:p>
    <w:tbl>
      <w:tblPr>
        <w:tblStyle w:val="LightGrid-Accent1"/>
        <w:tblW w:type="auto" w:w="0"/>
        <w:jc w:val="center"/>
        <w:tblLook w:firstColumn="1" w:firstRow="1" w:lastColumn="0" w:lastRow="0" w:noHBand="0" w:noVBand="1" w:val="04A0"/>
      </w:tblPr>
      <w:tblGrid>
        <w:gridCol w:w="786"/>
        <w:gridCol w:w="786"/>
        <w:gridCol w:w="786"/>
        <w:gridCol w:w="786"/>
        <w:gridCol w:w="786"/>
        <w:gridCol w:w="786"/>
        <w:gridCol w:w="786"/>
        <w:gridCol w:w="786"/>
        <w:gridCol w:w="786"/>
        <w:gridCol w:w="786"/>
        <w:gridCol w:w="786"/>
      </w:tblGrid>
      <w:tr>
        <w:tc>
          <w:tcPr>
            <w:tcW w:type="dxa" w:w="786"/>
          </w:tcPr>
          <w:p>
            <w:pPr>
              <w:jc w:val="center"/>
            </w:pPr>
            <w:r>
              <w:rPr>
                <w:b/>
                <w:sz w:val="20"/>
              </w:rPr>
              <w:t>托架型式</w:t>
            </w:r>
          </w:p>
        </w:tc>
        <w:tc>
          <w:tcPr>
            <w:tcW w:type="dxa" w:w="786"/>
          </w:tcPr>
          <w:p>
            <w:pPr>
              <w:jc w:val="center"/>
            </w:pPr>
            <w:r>
              <w:rPr>
                <w:b/>
                <w:sz w:val="20"/>
              </w:rPr>
              <w:t>A</w:t>
            </w:r>
          </w:p>
        </w:tc>
        <w:tc>
          <w:tcPr>
            <w:tcW w:type="dxa" w:w="786"/>
          </w:tcPr>
          <w:p>
            <w:pPr>
              <w:jc w:val="center"/>
            </w:pPr>
            <w:r>
              <w:rPr>
                <w:b/>
                <w:sz w:val="20"/>
              </w:rPr>
              <w:t>B</w:t>
            </w:r>
          </w:p>
        </w:tc>
        <w:tc>
          <w:tcPr>
            <w:tcW w:type="dxa" w:w="786"/>
          </w:tcPr>
          <w:p>
            <w:pPr>
              <w:jc w:val="center"/>
            </w:pPr>
            <w:r>
              <w:rPr>
                <w:b/>
                <w:sz w:val="20"/>
              </w:rPr>
              <w:t>C</w:t>
            </w:r>
          </w:p>
        </w:tc>
        <w:tc>
          <w:tcPr>
            <w:tcW w:type="dxa" w:w="786"/>
          </w:tcPr>
          <w:p>
            <w:pPr>
              <w:jc w:val="center"/>
            </w:pPr>
            <w:r>
              <w:rPr>
                <w:b/>
                <w:sz w:val="20"/>
              </w:rPr>
              <w:t>D</w:t>
            </w:r>
          </w:p>
        </w:tc>
        <w:tc>
          <w:tcPr>
            <w:tcW w:type="dxa" w:w="786"/>
          </w:tcPr>
          <w:p>
            <w:pPr>
              <w:jc w:val="center"/>
            </w:pPr>
            <w:r>
              <w:rPr>
                <w:b/>
                <w:sz w:val="20"/>
              </w:rPr>
              <w:t>E、F</w:t>
            </w:r>
          </w:p>
        </w:tc>
        <w:tc>
          <w:tcPr>
            <w:tcW w:type="dxa" w:w="786"/>
          </w:tcPr>
          <w:p>
            <w:pPr>
              <w:jc w:val="center"/>
            </w:pPr>
            <w:r>
              <w:rPr>
                <w:b/>
                <w:sz w:val="20"/>
              </w:rPr>
              <w:t>G</w:t>
            </w:r>
          </w:p>
        </w:tc>
        <w:tc>
          <w:tcPr>
            <w:tcW w:type="dxa" w:w="786"/>
          </w:tcPr>
          <w:p>
            <w:pPr>
              <w:jc w:val="center"/>
            </w:pPr>
            <w:r>
              <w:rPr>
                <w:b/>
                <w:sz w:val="20"/>
              </w:rPr>
              <w:t>R、RS</w:t>
            </w:r>
          </w:p>
        </w:tc>
        <w:tc>
          <w:tcPr>
            <w:tcW w:type="dxa" w:w="786"/>
          </w:tcPr>
          <w:p>
            <w:pPr>
              <w:jc w:val="center"/>
            </w:pPr>
            <w:r>
              <w:rPr>
                <w:b/>
                <w:sz w:val="20"/>
              </w:rPr>
              <w:t>S、ST</w:t>
            </w:r>
          </w:p>
        </w:tc>
        <w:tc>
          <w:tcPr>
            <w:tcW w:type="dxa" w:w="786"/>
          </w:tcPr>
          <w:p>
            <w:pPr>
              <w:jc w:val="center"/>
            </w:pPr>
            <w:r>
              <w:rPr>
                <w:b/>
                <w:sz w:val="20"/>
              </w:rPr>
              <w:t>T、TU</w:t>
            </w:r>
          </w:p>
        </w:tc>
        <w:tc>
          <w:tcPr>
            <w:tcW w:type="dxa" w:w="786"/>
          </w:tcPr>
          <w:p>
            <w:pPr>
              <w:jc w:val="center"/>
            </w:pPr>
            <w:r>
              <w:rPr>
                <w:b/>
                <w:sz w:val="20"/>
              </w:rPr>
              <w:t>U</w:t>
            </w:r>
          </w:p>
        </w:tc>
      </w:tr>
      <w:tr>
        <w:tc>
          <w:tcPr>
            <w:tcW w:type="dxa" w:w="786"/>
          </w:tcPr>
          <w:p>
            <w:pPr>
              <w:jc w:val="center"/>
            </w:pPr>
            <w:r>
              <w:rPr>
                <w:sz w:val="20"/>
              </w:rPr>
              <w:t>轴封水量l/s</w:t>
            </w:r>
          </w:p>
        </w:tc>
        <w:tc>
          <w:tcPr>
            <w:tcW w:type="dxa" w:w="786"/>
          </w:tcPr>
          <w:p>
            <w:pPr>
              <w:jc w:val="center"/>
            </w:pPr>
            <w:r>
              <w:rPr>
                <w:sz w:val="20"/>
              </w:rPr>
              <w:t>0.15</w:t>
            </w:r>
          </w:p>
        </w:tc>
        <w:tc>
          <w:tcPr>
            <w:tcW w:type="dxa" w:w="786"/>
          </w:tcPr>
          <w:p>
            <w:pPr>
              <w:jc w:val="center"/>
            </w:pPr>
            <w:r>
              <w:rPr>
                <w:sz w:val="20"/>
              </w:rPr>
              <w:t>0.25</w:t>
            </w:r>
          </w:p>
        </w:tc>
        <w:tc>
          <w:tcPr>
            <w:tcW w:type="dxa" w:w="786"/>
          </w:tcPr>
          <w:p>
            <w:pPr>
              <w:jc w:val="center"/>
            </w:pPr>
            <w:r>
              <w:rPr>
                <w:sz w:val="20"/>
              </w:rPr>
              <w:t>0.35</w:t>
            </w:r>
          </w:p>
        </w:tc>
        <w:tc>
          <w:tcPr>
            <w:tcW w:type="dxa" w:w="786"/>
          </w:tcPr>
          <w:p>
            <w:pPr>
              <w:jc w:val="center"/>
            </w:pPr>
            <w:r>
              <w:rPr>
                <w:sz w:val="20"/>
              </w:rPr>
              <w:t>0.55</w:t>
            </w:r>
          </w:p>
        </w:tc>
        <w:tc>
          <w:tcPr>
            <w:tcW w:type="dxa" w:w="786"/>
          </w:tcPr>
          <w:p>
            <w:pPr>
              <w:jc w:val="center"/>
            </w:pPr>
            <w:r>
              <w:rPr>
                <w:sz w:val="20"/>
              </w:rPr>
              <w:t>0.70</w:t>
            </w:r>
          </w:p>
        </w:tc>
        <w:tc>
          <w:tcPr>
            <w:tcW w:type="dxa" w:w="786"/>
          </w:tcPr>
          <w:p>
            <w:pPr>
              <w:jc w:val="center"/>
            </w:pPr>
            <w:r>
              <w:rPr>
                <w:sz w:val="20"/>
              </w:rPr>
              <w:t>1.2</w:t>
            </w:r>
          </w:p>
        </w:tc>
        <w:tc>
          <w:tcPr>
            <w:tcW w:type="dxa" w:w="786"/>
          </w:tcPr>
          <w:p>
            <w:pPr>
              <w:jc w:val="center"/>
            </w:pPr>
            <w:r>
              <w:rPr>
                <w:sz w:val="20"/>
              </w:rPr>
              <w:t>0.70</w:t>
            </w:r>
          </w:p>
        </w:tc>
        <w:tc>
          <w:tcPr>
            <w:tcW w:type="dxa" w:w="786"/>
          </w:tcPr>
          <w:p>
            <w:pPr>
              <w:jc w:val="center"/>
            </w:pPr>
            <w:r>
              <w:rPr>
                <w:sz w:val="20"/>
              </w:rPr>
              <w:t>1.2</w:t>
            </w:r>
          </w:p>
        </w:tc>
        <w:tc>
          <w:tcPr>
            <w:tcW w:type="dxa" w:w="786"/>
          </w:tcPr>
          <w:p>
            <w:pPr>
              <w:jc w:val="center"/>
            </w:pPr>
            <w:r>
              <w:rPr>
                <w:sz w:val="20"/>
              </w:rPr>
              <w:t>1.6</w:t>
            </w:r>
          </w:p>
        </w:tc>
        <w:tc>
          <w:tcPr>
            <w:tcW w:type="dxa" w:w="786"/>
          </w:tcPr>
          <w:p>
            <w:pPr>
              <w:jc w:val="center"/>
            </w:pPr>
            <w:r>
              <w:rPr>
                <w:sz w:val="20"/>
              </w:rPr>
              <w:t>2.1</w:t>
            </w:r>
          </w:p>
        </w:tc>
      </w:tr>
    </w:tbl>
    <w:p>
      <w:pPr>
        <w:pStyle w:val="Heading2"/>
      </w:pPr>
      <w:r>
        <w:rPr>
          <w:rFonts w:ascii="Microsoft YaHei" w:hAnsi="Microsoft YaHei" w:eastAsia="Microsoft YaHei"/>
        </w:rPr>
        <w:t>2、运转</w:t>
      </w:r>
    </w:p>
    <w:p>
      <w:pPr>
        <w:ind w:firstLine="420"/>
      </w:pPr>
      <w:r>
        <w:rPr>
          <w:rFonts w:ascii="Microsoft YaHei" w:hAnsi="Microsoft YaHei" w:eastAsia="Microsoft YaHei"/>
          <w:b w:val="0"/>
          <w:sz w:val="24"/>
        </w:rPr>
        <w:t>（1）运转中应定期检查轴封水的压力和流量及时调节填料压盖或更换填料。以保证始终有少量的清洁水通过轴。</w:t>
      </w:r>
    </w:p>
    <w:p>
      <w:pPr>
        <w:ind w:firstLine="420"/>
      </w:pPr>
      <w:r>
        <w:rPr>
          <w:rFonts w:ascii="Microsoft YaHei" w:hAnsi="Microsoft YaHei" w:eastAsia="Microsoft YaHei"/>
          <w:b w:val="0"/>
          <w:sz w:val="24"/>
        </w:rPr>
        <w:t>（2）定期检查轴承组件运转情况。开始运转时若轴承发热，则可停泵待轴承冷却后，再次进行运行。若轴承仍严重发热、温度持续上升，则须拆检轴承组件，检查原因。一般轴承发热多是由于润滑油过量或油中有杂质引起的，轴承润滑脂量要适当、清洁，要定期添加润滑脂。</w:t>
      </w:r>
    </w:p>
    <w:p>
      <w:pPr>
        <w:ind w:firstLine="420"/>
      </w:pPr>
      <w:r>
        <w:rPr>
          <w:rFonts w:ascii="Microsoft YaHei" w:hAnsi="Microsoft YaHei" w:eastAsia="Microsoft YaHei"/>
          <w:b w:val="0"/>
          <w:sz w:val="24"/>
        </w:rPr>
        <w:t>（3）泵性能随着叶轮与护板间隙的增大而变换、效率降低，故应及时将叶轮向前调整，以保证一定间隙，使泵能保持在高效率运行，当泵磨损到不能满足系统需要时，应更换易损件。</w:t>
      </w:r>
    </w:p>
    <w:p>
      <w:pPr>
        <w:pStyle w:val="Heading2"/>
      </w:pPr>
      <w:r>
        <w:rPr>
          <w:rFonts w:ascii="Microsoft YaHei" w:hAnsi="Microsoft YaHei" w:eastAsia="Microsoft YaHei"/>
        </w:rPr>
        <w:t>3、停泵：</w:t>
      </w:r>
    </w:p>
    <w:p>
      <w:pPr>
        <w:ind w:firstLine="420"/>
      </w:pPr>
      <w:r>
        <w:rPr>
          <w:rFonts w:ascii="Microsoft YaHei" w:hAnsi="Microsoft YaHei" w:eastAsia="Microsoft YaHei"/>
          <w:b w:val="0"/>
          <w:sz w:val="24"/>
        </w:rPr>
        <w:t>停泵前应尽可能使泵抽送一会清水，以清洗流经泵内的渣浆，然后依次关闭泵、闸门、填料轴封水。</w:t>
      </w:r>
    </w:p>
    <w:p>
      <w:pPr>
        <w:jc w:val="center"/>
      </w:pPr>
      <w:r>
        <w:drawing>
          <wp:inline xmlns:a="http://schemas.openxmlformats.org/drawingml/2006/main" xmlns:pic="http://schemas.openxmlformats.org/drawingml/2006/picture">
            <wp:extent cx="5029200" cy="4860396"/>
            <wp:docPr id="10" name="Picture 10"/>
            <wp:cNvGraphicFramePr>
              <a:graphicFrameLocks noChangeAspect="1"/>
            </wp:cNvGraphicFramePr>
            <a:graphic>
              <a:graphicData uri="http://schemas.openxmlformats.org/drawingml/2006/picture">
                <pic:pic>
                  <pic:nvPicPr>
                    <pic:cNvPr id="0" name="image025.jpg"/>
                    <pic:cNvPicPr/>
                  </pic:nvPicPr>
                  <pic:blipFill>
                    <a:blip r:embed="rId18"/>
                    <a:stretch>
                      <a:fillRect/>
                    </a:stretch>
                  </pic:blipFill>
                  <pic:spPr>
                    <a:xfrm>
                      <a:off x="0" y="0"/>
                      <a:ext cx="5029200" cy="4860396"/>
                    </a:xfrm>
                    <a:prstGeom prst="rect"/>
                  </pic:spPr>
                </pic:pic>
              </a:graphicData>
            </a:graphic>
          </wp:inline>
        </w:drawing>
      </w:r>
    </w:p>
    <w:p>
      <w:pPr>
        <w:jc w:val="center"/>
      </w:pPr>
      <w:r>
        <w:rPr>
          <w:rFonts w:ascii="Microsoft YaHei" w:hAnsi="Microsoft YaHei" w:eastAsia="Microsoft YaHei"/>
          <w:color w:val="808080"/>
          <w:sz w:val="20"/>
        </w:rPr>
        <w:t>图十二 三角带预紧力调整示意图</w:t>
      </w:r>
    </w:p>
    <w:p>
      <w:pPr>
        <w:pStyle w:val="Heading2"/>
      </w:pPr>
      <w:r>
        <w:rPr>
          <w:rFonts w:ascii="Microsoft YaHei" w:hAnsi="Microsoft YaHei" w:eastAsia="Microsoft YaHei"/>
        </w:rPr>
        <w:t>4、三角带预紧力的调整</w:t>
      </w:r>
    </w:p>
    <w:p>
      <w:pPr>
        <w:ind w:firstLine="420"/>
      </w:pPr>
      <w:r>
        <w:rPr>
          <w:rFonts w:ascii="Microsoft YaHei" w:hAnsi="Microsoft YaHei" w:eastAsia="Microsoft YaHei"/>
          <w:b w:val="0"/>
          <w:sz w:val="24"/>
        </w:rPr>
        <w:t>介绍我厂推荐的调整方法，供参考。</w:t>
      </w:r>
    </w:p>
    <w:p>
      <w:pPr>
        <w:ind w:firstLine="420"/>
      </w:pPr>
      <w:r>
        <w:rPr>
          <w:rFonts w:ascii="Microsoft YaHei" w:hAnsi="Microsoft YaHei" w:eastAsia="Microsoft YaHei"/>
          <w:b w:val="0"/>
          <w:sz w:val="24"/>
        </w:rPr>
        <w:t>(1)、首先计算出预紧力Q，（牛顿）</w:t>
      </w:r>
    </w:p>
    <w:p>
      <w:pPr>
        <w:ind w:firstLine="420"/>
      </w:pPr>
      <w:r>
        <w:rPr>
          <w:rFonts w:ascii="Microsoft YaHei" w:hAnsi="Microsoft YaHei" w:eastAsia="Microsoft YaHei"/>
          <w:b w:val="0"/>
          <w:sz w:val="24"/>
        </w:rPr>
        <w:t>(2)、根据预紧力和三角带型号在曲线上查e值</w:t>
      </w:r>
    </w:p>
    <w:p>
      <w:pPr>
        <w:ind w:firstLine="420"/>
      </w:pPr>
      <w:r>
        <w:rPr>
          <w:rFonts w:ascii="Microsoft YaHei" w:hAnsi="Microsoft YaHei" w:eastAsia="Microsoft YaHei"/>
          <w:b w:val="0"/>
          <w:sz w:val="24"/>
        </w:rPr>
        <w:t>(3)、通过公式求出f</w:t>
      </w:r>
    </w:p>
    <w:p>
      <w:pPr>
        <w:ind w:firstLine="420"/>
      </w:pPr>
      <w:r>
        <w:rPr>
          <w:rFonts w:ascii="Microsoft YaHei" w:hAnsi="Microsoft YaHei" w:eastAsia="Microsoft YaHei"/>
          <w:b w:val="0"/>
          <w:sz w:val="24"/>
        </w:rPr>
        <w:t>(4)、在表一中查出对应三角带型号的R值，按图十二中所示方法通过调整两轮的中心距，达到要求的预紧力Q，一般在施加R牛顿力时，悬段总压下量不大于f时，即达到了要求的预紧力Q。</w:t>
      </w:r>
    </w:p>
    <w:p>
      <w:r>
        <w:rPr>
          <w:rFonts w:ascii="Microsoft YaHei" w:hAnsi="Microsoft YaHei" w:eastAsia="Microsoft YaHei"/>
          <w:b w:val="0"/>
          <w:sz w:val="24"/>
        </w:rPr>
        <w:t>式中：</w:t>
      </w:r>
    </w:p>
    <w:p>
      <w:r>
        <w:rPr>
          <w:rFonts w:ascii="Microsoft YaHei" w:hAnsi="Microsoft YaHei" w:eastAsia="Microsoft YaHei"/>
          <w:b w:val="0"/>
          <w:sz w:val="24"/>
        </w:rPr>
        <w:t>Q — 每根三角带静态下悬段的最小预紧力，单位 牛顿</w:t>
      </w:r>
    </w:p>
    <w:p>
      <w:r>
        <w:rPr>
          <w:rFonts w:ascii="Microsoft YaHei" w:hAnsi="Microsoft YaHei" w:eastAsia="Microsoft YaHei"/>
          <w:b w:val="0"/>
          <w:sz w:val="24"/>
        </w:rPr>
        <w:t>f — 三角带悬段总压下量，单位 mm</w:t>
      </w:r>
    </w:p>
    <w:p>
      <w:r>
        <w:rPr>
          <w:rFonts w:ascii="Microsoft YaHei" w:hAnsi="Microsoft YaHei" w:eastAsia="Microsoft YaHei"/>
          <w:b w:val="0"/>
          <w:sz w:val="24"/>
        </w:rPr>
        <w:t>C1 — 角度系数约为0.9</w:t>
      </w:r>
    </w:p>
    <w:p>
      <w:r>
        <w:rPr>
          <w:rFonts w:ascii="Microsoft YaHei" w:hAnsi="Microsoft YaHei" w:eastAsia="Microsoft YaHei"/>
          <w:b w:val="0"/>
          <w:sz w:val="24"/>
        </w:rPr>
        <w:t>C2 — 工作系数约为1.4</w:t>
      </w:r>
    </w:p>
    <w:p>
      <w:r>
        <w:rPr>
          <w:rFonts w:ascii="Microsoft YaHei" w:hAnsi="Microsoft YaHei" w:eastAsia="Microsoft YaHei"/>
          <w:b w:val="0"/>
          <w:sz w:val="24"/>
        </w:rPr>
        <w:t>L' — 槽轮中心距</w:t>
      </w:r>
    </w:p>
    <w:p>
      <w:r>
        <w:rPr>
          <w:rFonts w:ascii="Microsoft YaHei" w:hAnsi="Microsoft YaHei" w:eastAsia="Microsoft YaHei"/>
          <w:b w:val="0"/>
          <w:sz w:val="24"/>
        </w:rPr>
        <w:t>P — 电机额定功率 KW</w:t>
      </w:r>
    </w:p>
    <w:p>
      <w:r>
        <w:rPr>
          <w:rFonts w:ascii="Microsoft YaHei" w:hAnsi="Microsoft YaHei" w:eastAsia="Microsoft YaHei"/>
          <w:b w:val="0"/>
          <w:sz w:val="24"/>
        </w:rPr>
        <w:t>Z — 三角带根数</w:t>
      </w:r>
    </w:p>
    <w:p>
      <w:r>
        <w:rPr>
          <w:rFonts w:ascii="Microsoft YaHei" w:hAnsi="Microsoft YaHei" w:eastAsia="Microsoft YaHei"/>
          <w:b w:val="0"/>
          <w:sz w:val="24"/>
        </w:rPr>
        <w:t>V — 线速度，米/秒</w:t>
      </w:r>
    </w:p>
    <w:p>
      <w:r>
        <w:rPr>
          <w:rFonts w:ascii="Microsoft YaHei" w:hAnsi="Microsoft YaHei" w:eastAsia="Microsoft YaHei"/>
          <w:b w:val="0"/>
          <w:sz w:val="24"/>
        </w:rPr>
        <w:t>M — 离心力系数(查表一)</w:t>
      </w:r>
    </w:p>
    <w:p>
      <w:r>
        <w:rPr>
          <w:rFonts w:ascii="Microsoft YaHei" w:hAnsi="Microsoft YaHei" w:eastAsia="Microsoft YaHei"/>
          <w:b w:val="0"/>
          <w:sz w:val="24"/>
        </w:rPr>
        <w:t>e — 每100mm悬段长度上的压下量，见图十二</w:t>
      </w:r>
    </w:p>
    <w:p>
      <w:r>
        <w:rPr>
          <w:rFonts w:ascii="Microsoft YaHei" w:hAnsi="Microsoft YaHei" w:eastAsia="Microsoft YaHei"/>
          <w:b/>
          <w:sz w:val="24"/>
        </w:rPr>
        <w:t>表一</w:t>
      </w:r>
    </w:p>
    <w:tbl>
      <w:tblPr>
        <w:tblStyle w:val="LightGrid-Accent1"/>
        <w:tblW w:type="auto" w:w="0"/>
        <w:jc w:val="center"/>
        <w:tblLook w:firstColumn="1" w:firstRow="1" w:lastColumn="0" w:lastRow="0" w:noHBand="0" w:noVBand="1" w:val="04A0"/>
      </w:tblPr>
      <w:tblGrid>
        <w:gridCol w:w="1729"/>
        <w:gridCol w:w="1729"/>
        <w:gridCol w:w="1729"/>
        <w:gridCol w:w="1729"/>
        <w:gridCol w:w="1729"/>
      </w:tblGrid>
      <w:tr>
        <w:tc>
          <w:tcPr>
            <w:tcW w:type="dxa" w:w="1729"/>
          </w:tcPr>
          <w:p>
            <w:pPr>
              <w:jc w:val="center"/>
            </w:pPr>
            <w:r>
              <w:rPr>
                <w:b/>
                <w:sz w:val="20"/>
              </w:rPr>
              <w:t>型号</w:t>
            </w:r>
          </w:p>
        </w:tc>
        <w:tc>
          <w:tcPr>
            <w:tcW w:type="dxa" w:w="1729"/>
          </w:tcPr>
          <w:p>
            <w:pPr>
              <w:jc w:val="center"/>
            </w:pPr>
            <w:r>
              <w:rPr>
                <w:b/>
                <w:sz w:val="20"/>
              </w:rPr>
              <w:t>SPA</w:t>
            </w:r>
          </w:p>
        </w:tc>
        <w:tc>
          <w:tcPr>
            <w:tcW w:type="dxa" w:w="1729"/>
          </w:tcPr>
          <w:p>
            <w:pPr>
              <w:jc w:val="center"/>
            </w:pPr>
            <w:r>
              <w:rPr>
                <w:b/>
                <w:sz w:val="20"/>
              </w:rPr>
              <w:t>SPB</w:t>
            </w:r>
          </w:p>
        </w:tc>
        <w:tc>
          <w:tcPr>
            <w:tcW w:type="dxa" w:w="1729"/>
          </w:tcPr>
          <w:p>
            <w:pPr>
              <w:jc w:val="center"/>
            </w:pPr>
            <w:r>
              <w:rPr>
                <w:b/>
                <w:sz w:val="20"/>
              </w:rPr>
              <w:t>SPC</w:t>
            </w:r>
          </w:p>
        </w:tc>
        <w:tc>
          <w:tcPr>
            <w:tcW w:type="dxa" w:w="1729"/>
          </w:tcPr>
          <w:p>
            <w:pPr>
              <w:jc w:val="center"/>
            </w:pPr>
            <w:r>
              <w:rPr>
                <w:b/>
                <w:sz w:val="20"/>
              </w:rPr>
              <w:t>SPZ</w:t>
            </w:r>
          </w:p>
        </w:tc>
      </w:tr>
      <w:tr>
        <w:tc>
          <w:tcPr>
            <w:tcW w:type="dxa" w:w="1729"/>
          </w:tcPr>
          <w:p>
            <w:pPr>
              <w:jc w:val="center"/>
            </w:pPr>
            <w:r>
              <w:rPr>
                <w:sz w:val="20"/>
              </w:rPr>
              <w:t>R</w:t>
            </w:r>
          </w:p>
        </w:tc>
        <w:tc>
          <w:tcPr>
            <w:tcW w:type="dxa" w:w="1729"/>
          </w:tcPr>
          <w:p>
            <w:pPr>
              <w:jc w:val="center"/>
            </w:pPr>
            <w:r>
              <w:rPr>
                <w:sz w:val="20"/>
              </w:rPr>
              <w:t>60</w:t>
            </w:r>
          </w:p>
        </w:tc>
        <w:tc>
          <w:tcPr>
            <w:tcW w:type="dxa" w:w="1729"/>
          </w:tcPr>
          <w:p>
            <w:pPr>
              <w:jc w:val="center"/>
            </w:pPr>
            <w:r>
              <w:rPr>
                <w:sz w:val="20"/>
              </w:rPr>
              <w:t>90</w:t>
            </w:r>
          </w:p>
        </w:tc>
        <w:tc>
          <w:tcPr>
            <w:tcW w:type="dxa" w:w="1729"/>
          </w:tcPr>
          <w:p>
            <w:pPr>
              <w:jc w:val="center"/>
            </w:pPr>
            <w:r>
              <w:rPr>
                <w:sz w:val="20"/>
              </w:rPr>
              <w:t>120</w:t>
            </w:r>
          </w:p>
        </w:tc>
        <w:tc>
          <w:tcPr>
            <w:tcW w:type="dxa" w:w="1729"/>
          </w:tcPr>
          <w:p>
            <w:pPr>
              <w:jc w:val="center"/>
            </w:pPr>
            <w:r>
              <w:rPr>
                <w:sz w:val="20"/>
              </w:rPr>
              <w:t>30</w:t>
            </w:r>
          </w:p>
        </w:tc>
      </w:tr>
      <w:tr>
        <w:tc>
          <w:tcPr>
            <w:tcW w:type="dxa" w:w="1729"/>
          </w:tcPr>
          <w:p>
            <w:pPr>
              <w:jc w:val="center"/>
            </w:pPr>
            <w:r>
              <w:rPr>
                <w:sz w:val="20"/>
              </w:rPr>
              <w:t>m</w:t>
            </w:r>
          </w:p>
        </w:tc>
        <w:tc>
          <w:tcPr>
            <w:tcW w:type="dxa" w:w="1729"/>
          </w:tcPr>
          <w:p>
            <w:pPr>
              <w:jc w:val="center"/>
            </w:pPr>
            <w:r>
              <w:rPr>
                <w:sz w:val="20"/>
              </w:rPr>
              <w:t>0.12</w:t>
            </w:r>
          </w:p>
        </w:tc>
        <w:tc>
          <w:tcPr>
            <w:tcW w:type="dxa" w:w="1729"/>
          </w:tcPr>
          <w:p>
            <w:pPr>
              <w:jc w:val="center"/>
            </w:pPr>
            <w:r>
              <w:rPr>
                <w:sz w:val="20"/>
              </w:rPr>
              <w:t>0.20</w:t>
            </w:r>
          </w:p>
        </w:tc>
        <w:tc>
          <w:tcPr>
            <w:tcW w:type="dxa" w:w="1729"/>
          </w:tcPr>
          <w:p>
            <w:pPr>
              <w:jc w:val="center"/>
            </w:pPr>
            <w:r>
              <w:rPr>
                <w:sz w:val="20"/>
              </w:rPr>
              <w:t>0.38</w:t>
            </w:r>
          </w:p>
        </w:tc>
        <w:tc>
          <w:tcPr>
            <w:tcW w:type="dxa" w:w="1729"/>
          </w:tcPr>
          <w:p>
            <w:pPr>
              <w:jc w:val="center"/>
            </w:pPr>
            <w:r>
              <w:rPr>
                <w:sz w:val="20"/>
              </w:rPr>
              <w:t>0.08</w:t>
            </w:r>
          </w:p>
        </w:tc>
      </w:tr>
    </w:tbl>
    <w:p>
      <w:pPr>
        <w:ind w:firstLine="420"/>
      </w:pPr>
      <w:r>
        <w:rPr>
          <w:rFonts w:ascii="Microsoft YaHei" w:hAnsi="Microsoft YaHei" w:eastAsia="Microsoft YaHei"/>
          <w:b w:val="0"/>
          <w:sz w:val="24"/>
        </w:rPr>
        <w:t>三角带调整到最终的预紧力应使三角带在载荷最大时，预紧力为最小，当成组使用三角带时各三角带的周长应基本一致，以保证各三角带在工作时受力相等。</w:t>
      </w:r>
    </w:p>
    <w:p>
      <w:pPr>
        <w:ind w:firstLine="420"/>
      </w:pPr>
      <w:r>
        <w:rPr>
          <w:rFonts w:ascii="Microsoft YaHei" w:hAnsi="Microsoft YaHei" w:eastAsia="Microsoft YaHei"/>
          <w:b w:val="0"/>
          <w:sz w:val="24"/>
        </w:rPr>
        <w:t>三角带调整好后，再次检查叶轮转动是否正常，在可能的情况下，应在泵送渣浆前用清水启动泵，开吸水管阀门，开电动机，检查进出口压力和流量，检查填料处泄漏量，若填料发热，可先松填料压盖螺栓，使泄漏量大些，待填料与轴跑合后在调节泄漏量至规定值。</w:t>
      </w:r>
    </w:p>
    <w:p>
      <w:pPr>
        <w:pStyle w:val="Heading1"/>
      </w:pPr>
      <w:r>
        <w:rPr>
          <w:rFonts w:ascii="Microsoft YaHei" w:hAnsi="Microsoft YaHei" w:eastAsia="Microsoft YaHei"/>
        </w:rPr>
        <w:t>五、维 护 保 养</w:t>
      </w:r>
    </w:p>
    <w:p>
      <w:pPr>
        <w:ind w:firstLine="420"/>
      </w:pPr>
      <w:r>
        <w:rPr>
          <w:rFonts w:ascii="Microsoft YaHei" w:hAnsi="Microsoft YaHei" w:eastAsia="Microsoft YaHei"/>
          <w:b w:val="0"/>
          <w:sz w:val="24"/>
        </w:rPr>
        <w:t>要使泵安全运行，必须注意日常的维护，维护保养应注意以下几个方面：</w:t>
      </w:r>
    </w:p>
    <w:p>
      <w:pPr>
        <w:pStyle w:val="Heading2"/>
      </w:pPr>
      <w:r>
        <w:rPr>
          <w:rFonts w:ascii="Microsoft YaHei" w:hAnsi="Microsoft YaHei" w:eastAsia="Microsoft YaHei"/>
        </w:rPr>
        <w:t>1、轴封的维护：</w:t>
      </w:r>
    </w:p>
    <w:p>
      <w:pPr>
        <w:ind w:firstLine="420"/>
      </w:pPr>
      <w:r>
        <w:rPr>
          <w:rFonts w:ascii="Microsoft YaHei" w:hAnsi="Microsoft YaHei" w:eastAsia="Microsoft YaHei"/>
          <w:b w:val="0"/>
          <w:sz w:val="24"/>
        </w:rPr>
        <w:t>填料轴封泵要定期检测密封水压和水量，要始终保持少量清洁水沿轴流过，定期调填料压盖，检查填料并定期更换填料，轴封水压，轴封水量应符合上述（轴封检查）的要求。</w:t>
      </w:r>
    </w:p>
    <w:p>
      <w:pPr>
        <w:ind w:firstLine="420"/>
      </w:pPr>
      <w:r>
        <w:rPr>
          <w:rFonts w:ascii="Microsoft YaHei" w:hAnsi="Microsoft YaHei" w:eastAsia="Microsoft YaHei"/>
          <w:b w:val="0"/>
          <w:sz w:val="24"/>
        </w:rPr>
        <w:t>装有油杯的副叶轮轴封泵，应定期用油杯注油，以润滑内部的填料或唇口密封圈。</w:t>
      </w:r>
    </w:p>
    <w:p>
      <w:pPr>
        <w:pStyle w:val="Heading2"/>
      </w:pPr>
      <w:r>
        <w:rPr>
          <w:rFonts w:ascii="Microsoft YaHei" w:hAnsi="Microsoft YaHei" w:eastAsia="Microsoft YaHei"/>
        </w:rPr>
        <w:t>2、叶轮的调节：</w:t>
      </w:r>
    </w:p>
    <w:p>
      <w:pPr>
        <w:ind w:firstLine="420"/>
      </w:pPr>
      <w:r>
        <w:rPr>
          <w:rFonts w:ascii="Microsoft YaHei" w:hAnsi="Microsoft YaHei" w:eastAsia="Microsoft YaHei"/>
          <w:b w:val="0"/>
          <w:sz w:val="24"/>
        </w:rPr>
        <w:t>为了保证泵高效运转，就必须及时调整叶轮与前护板的间隙，金属内衬泵叶轮与前护板间隙在0.5-1mm之间，橡胶内衬泵叶轮与前后护套之间的间隙要相等。调节叶轮间隙时首先停泵，松开压紧轴承组件的螺栓，拧调整螺栓上的螺母，使轴承组件向前移动，同时用手转动轴按泵转动方向旋转，直到叶轮与前护板摩擦为止，对于金属内衬泵则将前面刚拧紧的螺母放松半圈。再将调整螺栓上前面的螺母拧紧，使轴承组件后移，此时叶轮与前护板间隙在0.5-1mm之间，对于橡胶内衬泵则通过拧调整螺栓上的螺母，使轴承组件先向前移动，使叶轮与前护套接触，再使轴承组件向后移动，使叶轮和后护套接触，测出轴承组件总的接触距离，取此距离一般作为叶轮与前后护套的间隙，再用调整螺栓调节轴承组件的位置，保证叶轮与前后护套的正确间隙值。调整后，在再次起动前，须重新检查叶轮转动是否正常，轴承组件压紧螺栓与调整螺栓是否拧紧，然后再起动泵。</w:t>
      </w:r>
    </w:p>
    <w:p>
      <w:pPr>
        <w:pStyle w:val="Heading2"/>
      </w:pPr>
      <w:r>
        <w:rPr>
          <w:rFonts w:ascii="Microsoft YaHei" w:hAnsi="Microsoft YaHei" w:eastAsia="Microsoft YaHei"/>
        </w:rPr>
        <w:t>3、轴承润滑：</w:t>
      </w:r>
    </w:p>
    <w:p>
      <w:pPr>
        <w:ind w:firstLine="420"/>
      </w:pPr>
      <w:r>
        <w:rPr>
          <w:rFonts w:ascii="Microsoft YaHei" w:hAnsi="Microsoft YaHei" w:eastAsia="Microsoft YaHei"/>
          <w:b w:val="0"/>
          <w:sz w:val="24"/>
        </w:rPr>
        <w:t>轴承组件在装配时，若装配正确、润滑油适量、维修及时，运转寿命会较长，维修人员应定期检修轴承组件，检查轴承及润滑脂的情况，检修间隔一般不超过12个月。在运转中须定期添加润滑脂，间隔时间及注入的量与泵的转速、轴承规格、连续工作时间、泵的停开次数、周围环境和运转温度等许多因素有关，而且润滑脂过量会引起轴承发热，因此须逐渐积累经验，合理及时地加润滑脂，在一般情况下可参考下表。</w:t>
      </w:r>
    </w:p>
    <w:p>
      <w:pPr>
        <w:pStyle w:val="Heading2"/>
      </w:pPr>
      <w:r>
        <w:rPr>
          <w:rFonts w:ascii="Microsoft YaHei" w:hAnsi="Microsoft YaHei" w:eastAsia="Microsoft YaHei"/>
        </w:rPr>
        <w:t>4、备用泵应每周将轴转动1/4圈，以使轴承均匀地承受静载荷和外部振动。</w:t>
      </w:r>
    </w:p>
    <w:p>
      <w:r>
        <w:rPr>
          <w:rFonts w:ascii="Microsoft YaHei" w:hAnsi="Microsoft YaHei" w:eastAsia="Microsoft YaHei"/>
          <w:b/>
          <w:sz w:val="24"/>
        </w:rPr>
        <w:t>润滑脂用量及润滑周期表（小时）</w:t>
      </w:r>
    </w:p>
    <w:tbl>
      <w:tblPr>
        <w:tblStyle w:val="LightGrid-Accent1"/>
        <w:tblW w:type="auto" w:w="0"/>
        <w:jc w:val="center"/>
        <w:tblLook w:firstColumn="1" w:firstRow="1" w:lastColumn="0" w:lastRow="0" w:noHBand="0" w:noVBand="1" w:val="04A0"/>
      </w:tblPr>
      <w:tblGrid>
        <w:gridCol w:w="865"/>
        <w:gridCol w:w="865"/>
        <w:gridCol w:w="865"/>
        <w:gridCol w:w="865"/>
        <w:gridCol w:w="865"/>
        <w:gridCol w:w="865"/>
        <w:gridCol w:w="865"/>
        <w:gridCol w:w="865"/>
        <w:gridCol w:w="865"/>
        <w:gridCol w:w="865"/>
      </w:tblGrid>
      <w:tr>
        <w:tc>
          <w:tcPr>
            <w:tcW w:type="dxa" w:w="865"/>
          </w:tcPr>
          <w:p>
            <w:pPr>
              <w:jc w:val="center"/>
            </w:pPr>
            <w:r>
              <w:rPr>
                <w:b/>
                <w:sz w:val="20"/>
              </w:rPr>
              <w:t>托架形式</w:t>
            </w:r>
          </w:p>
        </w:tc>
        <w:tc>
          <w:tcPr>
            <w:tcW w:type="dxa" w:w="865"/>
          </w:tcPr>
          <w:p>
            <w:pPr>
              <w:jc w:val="center"/>
            </w:pPr>
            <w:r>
              <w:rPr>
                <w:b/>
                <w:sz w:val="20"/>
              </w:rPr>
              <w:t>每个轴承润滑脂量（克）</w:t>
            </w:r>
          </w:p>
        </w:tc>
        <w:tc>
          <w:tcPr>
            <w:tcW w:type="dxa" w:w="865"/>
          </w:tcPr>
          <w:p>
            <w:pPr>
              <w:jc w:val="center"/>
            </w:pPr>
            <w:r>
              <w:rPr>
                <w:b/>
                <w:sz w:val="20"/>
              </w:rPr>
              <w:t>300</w:t>
            </w:r>
          </w:p>
        </w:tc>
        <w:tc>
          <w:tcPr>
            <w:tcW w:type="dxa" w:w="865"/>
          </w:tcPr>
          <w:p>
            <w:pPr>
              <w:jc w:val="center"/>
            </w:pPr>
            <w:r>
              <w:rPr>
                <w:b/>
                <w:sz w:val="20"/>
              </w:rPr>
              <w:t>400</w:t>
            </w:r>
          </w:p>
        </w:tc>
        <w:tc>
          <w:tcPr>
            <w:tcW w:type="dxa" w:w="865"/>
          </w:tcPr>
          <w:p>
            <w:pPr>
              <w:jc w:val="center"/>
            </w:pPr>
            <w:r>
              <w:rPr>
                <w:b/>
                <w:sz w:val="20"/>
              </w:rPr>
              <w:t>600</w:t>
            </w:r>
          </w:p>
        </w:tc>
        <w:tc>
          <w:tcPr>
            <w:tcW w:type="dxa" w:w="865"/>
          </w:tcPr>
          <w:p>
            <w:pPr>
              <w:jc w:val="center"/>
            </w:pPr>
            <w:r>
              <w:rPr>
                <w:b/>
                <w:sz w:val="20"/>
              </w:rPr>
              <w:t>800</w:t>
            </w:r>
          </w:p>
        </w:tc>
        <w:tc>
          <w:tcPr>
            <w:tcW w:type="dxa" w:w="865"/>
          </w:tcPr>
          <w:p>
            <w:pPr>
              <w:jc w:val="center"/>
            </w:pPr>
            <w:r>
              <w:rPr>
                <w:b/>
                <w:sz w:val="20"/>
              </w:rPr>
              <w:t>1000</w:t>
            </w:r>
          </w:p>
        </w:tc>
        <w:tc>
          <w:tcPr>
            <w:tcW w:type="dxa" w:w="865"/>
          </w:tcPr>
          <w:p>
            <w:pPr>
              <w:jc w:val="center"/>
            </w:pPr>
            <w:r>
              <w:rPr>
                <w:b/>
                <w:sz w:val="20"/>
              </w:rPr>
              <w:t>1200</w:t>
            </w:r>
          </w:p>
        </w:tc>
        <w:tc>
          <w:tcPr>
            <w:tcW w:type="dxa" w:w="865"/>
          </w:tcPr>
          <w:p>
            <w:pPr>
              <w:jc w:val="center"/>
            </w:pPr>
            <w:r>
              <w:rPr>
                <w:b/>
                <w:sz w:val="20"/>
              </w:rPr>
              <w:t>1800</w:t>
            </w:r>
          </w:p>
        </w:tc>
        <w:tc>
          <w:tcPr>
            <w:tcW w:type="dxa" w:w="865"/>
          </w:tcPr>
          <w:p>
            <w:pPr>
              <w:jc w:val="center"/>
            </w:pPr>
            <w:r>
              <w:rPr>
                <w:b/>
                <w:sz w:val="20"/>
              </w:rPr>
              <w:t>2000</w:t>
            </w:r>
          </w:p>
        </w:tc>
      </w:tr>
      <w:tr>
        <w:tc>
          <w:tcPr>
            <w:tcW w:type="dxa" w:w="865"/>
          </w:tcPr>
          <w:p>
            <w:pPr>
              <w:jc w:val="center"/>
            </w:pPr>
            <w:r>
              <w:rPr>
                <w:sz w:val="20"/>
              </w:rPr>
              <w:t>B</w:t>
            </w:r>
          </w:p>
        </w:tc>
        <w:tc>
          <w:tcPr>
            <w:tcW w:type="dxa" w:w="865"/>
          </w:tcPr>
          <w:p>
            <w:pPr>
              <w:jc w:val="center"/>
            </w:pPr>
            <w:r>
              <w:rPr>
                <w:sz w:val="20"/>
              </w:rPr>
              <w:t>12</w:t>
            </w:r>
          </w:p>
        </w:tc>
        <w:tc>
          <w:tcPr>
            <w:tcW w:type="dxa" w:w="865"/>
          </w:tcPr>
          <w:p>
            <w:pPr>
              <w:jc w:val="center"/>
            </w:pPr>
            <w:r>
              <w:rPr>
                <w:sz w:val="20"/>
              </w:rPr>
            </w:r>
          </w:p>
        </w:tc>
        <w:tc>
          <w:tcPr>
            <w:tcW w:type="dxa" w:w="865"/>
          </w:tcPr>
          <w:p>
            <w:pPr>
              <w:jc w:val="center"/>
            </w:pPr>
            <w:r>
              <w:rPr>
                <w:sz w:val="20"/>
              </w:rPr>
            </w:r>
          </w:p>
        </w:tc>
        <w:tc>
          <w:tcPr>
            <w:tcW w:type="dxa" w:w="865"/>
          </w:tcPr>
          <w:p>
            <w:pPr>
              <w:jc w:val="center"/>
            </w:pPr>
            <w:r>
              <w:rPr>
                <w:sz w:val="20"/>
              </w:rPr>
            </w:r>
          </w:p>
        </w:tc>
        <w:tc>
          <w:tcPr>
            <w:tcW w:type="dxa" w:w="865"/>
          </w:tcPr>
          <w:p>
            <w:pPr>
              <w:jc w:val="center"/>
            </w:pPr>
            <w:r>
              <w:rPr>
                <w:sz w:val="20"/>
              </w:rPr>
              <w:t>3000</w:t>
            </w:r>
          </w:p>
        </w:tc>
        <w:tc>
          <w:tcPr>
            <w:tcW w:type="dxa" w:w="865"/>
          </w:tcPr>
          <w:p>
            <w:pPr>
              <w:jc w:val="center"/>
            </w:pPr>
            <w:r>
              <w:rPr>
                <w:sz w:val="20"/>
              </w:rPr>
              <w:t>2400</w:t>
            </w:r>
          </w:p>
        </w:tc>
        <w:tc>
          <w:tcPr>
            <w:tcW w:type="dxa" w:w="865"/>
          </w:tcPr>
          <w:p>
            <w:pPr>
              <w:jc w:val="center"/>
            </w:pPr>
            <w:r>
              <w:rPr>
                <w:sz w:val="20"/>
              </w:rPr>
              <w:t>1800</w:t>
            </w:r>
          </w:p>
        </w:tc>
        <w:tc>
          <w:tcPr>
            <w:tcW w:type="dxa" w:w="865"/>
          </w:tcPr>
          <w:p>
            <w:pPr>
              <w:jc w:val="center"/>
            </w:pPr>
            <w:r>
              <w:rPr>
                <w:sz w:val="20"/>
              </w:rPr>
              <w:t>1500</w:t>
            </w:r>
          </w:p>
        </w:tc>
        <w:tc>
          <w:tcPr>
            <w:tcW w:type="dxa" w:w="865"/>
          </w:tcPr>
          <w:p>
            <w:pPr>
              <w:jc w:val="center"/>
            </w:pPr>
            <w:r>
              <w:rPr>
                <w:sz w:val="20"/>
              </w:rPr>
              <w:t>1000</w:t>
            </w:r>
          </w:p>
        </w:tc>
      </w:tr>
      <w:tr>
        <w:tc>
          <w:tcPr>
            <w:tcW w:type="dxa" w:w="865"/>
          </w:tcPr>
          <w:p>
            <w:pPr>
              <w:jc w:val="center"/>
            </w:pPr>
            <w:r>
              <w:rPr>
                <w:sz w:val="20"/>
              </w:rPr>
              <w:t>C</w:t>
            </w:r>
          </w:p>
        </w:tc>
        <w:tc>
          <w:tcPr>
            <w:tcW w:type="dxa" w:w="865"/>
          </w:tcPr>
          <w:p>
            <w:pPr>
              <w:jc w:val="center"/>
            </w:pPr>
            <w:r>
              <w:rPr>
                <w:sz w:val="20"/>
              </w:rPr>
              <w:t>18</w:t>
            </w:r>
          </w:p>
        </w:tc>
        <w:tc>
          <w:tcPr>
            <w:tcW w:type="dxa" w:w="865"/>
          </w:tcPr>
          <w:p>
            <w:pPr>
              <w:jc w:val="center"/>
            </w:pPr>
            <w:r>
              <w:rPr>
                <w:sz w:val="20"/>
              </w:rPr>
            </w:r>
          </w:p>
        </w:tc>
        <w:tc>
          <w:tcPr>
            <w:tcW w:type="dxa" w:w="865"/>
          </w:tcPr>
          <w:p>
            <w:pPr>
              <w:jc w:val="center"/>
            </w:pPr>
            <w:r>
              <w:rPr>
                <w:sz w:val="20"/>
              </w:rPr>
            </w:r>
          </w:p>
        </w:tc>
        <w:tc>
          <w:tcPr>
            <w:tcW w:type="dxa" w:w="865"/>
          </w:tcPr>
          <w:p>
            <w:pPr>
              <w:jc w:val="center"/>
            </w:pPr>
            <w:r>
              <w:rPr>
                <w:sz w:val="20"/>
              </w:rPr>
            </w:r>
          </w:p>
        </w:tc>
        <w:tc>
          <w:tcPr>
            <w:tcW w:type="dxa" w:w="865"/>
          </w:tcPr>
          <w:p>
            <w:pPr>
              <w:jc w:val="center"/>
            </w:pPr>
            <w:r>
              <w:rPr>
                <w:sz w:val="20"/>
              </w:rPr>
              <w:t>3600</w:t>
            </w:r>
          </w:p>
        </w:tc>
        <w:tc>
          <w:tcPr>
            <w:tcW w:type="dxa" w:w="865"/>
          </w:tcPr>
          <w:p>
            <w:pPr>
              <w:jc w:val="center"/>
            </w:pPr>
            <w:r>
              <w:rPr>
                <w:sz w:val="20"/>
              </w:rPr>
              <w:t>2400</w:t>
            </w:r>
          </w:p>
        </w:tc>
        <w:tc>
          <w:tcPr>
            <w:tcW w:type="dxa" w:w="865"/>
          </w:tcPr>
          <w:p>
            <w:pPr>
              <w:jc w:val="center"/>
            </w:pPr>
            <w:r>
              <w:rPr>
                <w:sz w:val="20"/>
              </w:rPr>
              <w:t>1800</w:t>
            </w:r>
          </w:p>
        </w:tc>
        <w:tc>
          <w:tcPr>
            <w:tcW w:type="dxa" w:w="865"/>
          </w:tcPr>
          <w:p>
            <w:pPr>
              <w:jc w:val="center"/>
            </w:pPr>
            <w:r>
              <w:rPr>
                <w:sz w:val="20"/>
              </w:rPr>
              <w:t>1600</w:t>
            </w:r>
          </w:p>
        </w:tc>
        <w:tc>
          <w:tcPr>
            <w:tcW w:type="dxa" w:w="865"/>
          </w:tcPr>
          <w:p>
            <w:pPr>
              <w:jc w:val="center"/>
            </w:pPr>
            <w:r>
              <w:rPr>
                <w:sz w:val="20"/>
              </w:rPr>
              <w:t>1200</w:t>
            </w:r>
          </w:p>
        </w:tc>
      </w:tr>
      <w:tr>
        <w:tc>
          <w:tcPr>
            <w:tcW w:type="dxa" w:w="865"/>
          </w:tcPr>
          <w:p>
            <w:pPr>
              <w:jc w:val="center"/>
            </w:pPr>
            <w:r>
              <w:rPr>
                <w:sz w:val="20"/>
              </w:rPr>
              <w:t>D</w:t>
            </w:r>
          </w:p>
        </w:tc>
        <w:tc>
          <w:tcPr>
            <w:tcW w:type="dxa" w:w="865"/>
          </w:tcPr>
          <w:p>
            <w:pPr>
              <w:jc w:val="center"/>
            </w:pPr>
            <w:r>
              <w:rPr>
                <w:sz w:val="20"/>
              </w:rPr>
              <w:t>28</w:t>
            </w:r>
          </w:p>
        </w:tc>
        <w:tc>
          <w:tcPr>
            <w:tcW w:type="dxa" w:w="865"/>
          </w:tcPr>
          <w:p>
            <w:pPr>
              <w:jc w:val="center"/>
            </w:pPr>
            <w:r>
              <w:rPr>
                <w:sz w:val="20"/>
              </w:rPr>
            </w:r>
          </w:p>
        </w:tc>
        <w:tc>
          <w:tcPr>
            <w:tcW w:type="dxa" w:w="865"/>
          </w:tcPr>
          <w:p>
            <w:pPr>
              <w:jc w:val="center"/>
            </w:pPr>
            <w:r>
              <w:rPr>
                <w:sz w:val="20"/>
              </w:rPr>
            </w:r>
          </w:p>
        </w:tc>
        <w:tc>
          <w:tcPr>
            <w:tcW w:type="dxa" w:w="865"/>
          </w:tcPr>
          <w:p>
            <w:pPr>
              <w:jc w:val="center"/>
            </w:pPr>
            <w:r>
              <w:rPr>
                <w:sz w:val="20"/>
              </w:rPr>
            </w:r>
          </w:p>
        </w:tc>
        <w:tc>
          <w:tcPr>
            <w:tcW w:type="dxa" w:w="865"/>
          </w:tcPr>
          <w:p>
            <w:pPr>
              <w:jc w:val="center"/>
            </w:pPr>
            <w:r>
              <w:rPr>
                <w:sz w:val="20"/>
              </w:rPr>
              <w:t>2500</w:t>
            </w:r>
          </w:p>
        </w:tc>
        <w:tc>
          <w:tcPr>
            <w:tcW w:type="dxa" w:w="865"/>
          </w:tcPr>
          <w:p>
            <w:pPr>
              <w:jc w:val="center"/>
            </w:pPr>
            <w:r>
              <w:rPr>
                <w:sz w:val="20"/>
              </w:rPr>
              <w:t>2000</w:t>
            </w:r>
          </w:p>
        </w:tc>
        <w:tc>
          <w:tcPr>
            <w:tcW w:type="dxa" w:w="865"/>
          </w:tcPr>
          <w:p>
            <w:pPr>
              <w:jc w:val="center"/>
            </w:pPr>
            <w:r>
              <w:rPr>
                <w:sz w:val="20"/>
              </w:rPr>
              <w:t>1500</w:t>
            </w:r>
          </w:p>
        </w:tc>
        <w:tc>
          <w:tcPr>
            <w:tcW w:type="dxa" w:w="865"/>
          </w:tcPr>
          <w:p>
            <w:pPr>
              <w:jc w:val="center"/>
            </w:pPr>
            <w:r>
              <w:rPr>
                <w:sz w:val="20"/>
              </w:rPr>
              <w:t>1200</w:t>
            </w:r>
          </w:p>
        </w:tc>
        <w:tc>
          <w:tcPr>
            <w:tcW w:type="dxa" w:w="865"/>
          </w:tcPr>
          <w:p>
            <w:pPr>
              <w:jc w:val="center"/>
            </w:pPr>
            <w:r>
              <w:rPr>
                <w:sz w:val="20"/>
              </w:rPr>
              <w:t>800</w:t>
            </w:r>
          </w:p>
        </w:tc>
      </w:tr>
      <w:tr>
        <w:tc>
          <w:tcPr>
            <w:tcW w:type="dxa" w:w="865"/>
          </w:tcPr>
          <w:p>
            <w:pPr>
              <w:jc w:val="center"/>
            </w:pPr>
            <w:r>
              <w:rPr>
                <w:sz w:val="20"/>
              </w:rPr>
              <w:t>E</w:t>
            </w:r>
          </w:p>
        </w:tc>
        <w:tc>
          <w:tcPr>
            <w:tcW w:type="dxa" w:w="865"/>
          </w:tcPr>
          <w:p>
            <w:pPr>
              <w:jc w:val="center"/>
            </w:pPr>
            <w:r>
              <w:rPr>
                <w:sz w:val="20"/>
              </w:rPr>
              <w:t>44</w:t>
            </w:r>
          </w:p>
        </w:tc>
        <w:tc>
          <w:tcPr>
            <w:tcW w:type="dxa" w:w="865"/>
          </w:tcPr>
          <w:p>
            <w:pPr>
              <w:jc w:val="center"/>
            </w:pPr>
            <w:r>
              <w:rPr>
                <w:sz w:val="20"/>
              </w:rPr>
            </w:r>
          </w:p>
        </w:tc>
        <w:tc>
          <w:tcPr>
            <w:tcW w:type="dxa" w:w="865"/>
          </w:tcPr>
          <w:p>
            <w:pPr>
              <w:jc w:val="center"/>
            </w:pPr>
            <w:r>
              <w:rPr>
                <w:sz w:val="20"/>
              </w:rPr>
              <w:t>5000</w:t>
            </w:r>
          </w:p>
        </w:tc>
        <w:tc>
          <w:tcPr>
            <w:tcW w:type="dxa" w:w="865"/>
          </w:tcPr>
          <w:p>
            <w:pPr>
              <w:jc w:val="center"/>
            </w:pPr>
            <w:r>
              <w:rPr>
                <w:sz w:val="20"/>
              </w:rPr>
              <w:t>3600</w:t>
            </w:r>
          </w:p>
        </w:tc>
        <w:tc>
          <w:tcPr>
            <w:tcW w:type="dxa" w:w="865"/>
          </w:tcPr>
          <w:p>
            <w:pPr>
              <w:jc w:val="center"/>
            </w:pPr>
            <w:r>
              <w:rPr>
                <w:sz w:val="20"/>
              </w:rPr>
              <w:t>2200</w:t>
            </w:r>
          </w:p>
        </w:tc>
        <w:tc>
          <w:tcPr>
            <w:tcW w:type="dxa" w:w="865"/>
          </w:tcPr>
          <w:p>
            <w:pPr>
              <w:jc w:val="center"/>
            </w:pPr>
            <w:r>
              <w:rPr>
                <w:sz w:val="20"/>
              </w:rPr>
              <w:t>1600</w:t>
            </w:r>
          </w:p>
        </w:tc>
        <w:tc>
          <w:tcPr>
            <w:tcW w:type="dxa" w:w="865"/>
          </w:tcPr>
          <w:p>
            <w:pPr>
              <w:jc w:val="center"/>
            </w:pPr>
            <w:r>
              <w:rPr>
                <w:sz w:val="20"/>
              </w:rPr>
              <w:t>1100</w:t>
            </w:r>
          </w:p>
        </w:tc>
        <w:tc>
          <w:tcPr>
            <w:tcW w:type="dxa" w:w="865"/>
          </w:tcPr>
          <w:p>
            <w:pPr>
              <w:jc w:val="center"/>
            </w:pPr>
            <w:r>
              <w:rPr>
                <w:sz w:val="20"/>
              </w:rPr>
              <w:t>800</w:t>
            </w:r>
          </w:p>
        </w:tc>
        <w:tc>
          <w:tcPr>
            <w:tcW w:type="dxa" w:w="865"/>
          </w:tcPr>
          <w:p>
            <w:pPr>
              <w:jc w:val="center"/>
            </w:pPr>
            <w:r>
              <w:rPr>
                <w:sz w:val="20"/>
              </w:rPr>
              <w:t>500</w:t>
            </w:r>
          </w:p>
        </w:tc>
      </w:tr>
      <w:tr>
        <w:tc>
          <w:tcPr>
            <w:tcW w:type="dxa" w:w="865"/>
          </w:tcPr>
          <w:p>
            <w:pPr>
              <w:jc w:val="center"/>
            </w:pPr>
            <w:r>
              <w:rPr>
                <w:sz w:val="20"/>
              </w:rPr>
              <w:t>F</w:t>
            </w:r>
          </w:p>
        </w:tc>
        <w:tc>
          <w:tcPr>
            <w:tcW w:type="dxa" w:w="865"/>
          </w:tcPr>
          <w:p>
            <w:pPr>
              <w:jc w:val="center"/>
            </w:pPr>
            <w:r>
              <w:rPr>
                <w:sz w:val="20"/>
              </w:rPr>
              <w:t>71</w:t>
            </w:r>
          </w:p>
        </w:tc>
        <w:tc>
          <w:tcPr>
            <w:tcW w:type="dxa" w:w="865"/>
          </w:tcPr>
          <w:p>
            <w:pPr>
              <w:jc w:val="center"/>
            </w:pPr>
            <w:r>
              <w:rPr>
                <w:sz w:val="20"/>
              </w:rPr>
              <w:t>4200</w:t>
            </w:r>
          </w:p>
        </w:tc>
        <w:tc>
          <w:tcPr>
            <w:tcW w:type="dxa" w:w="865"/>
          </w:tcPr>
          <w:p>
            <w:pPr>
              <w:jc w:val="center"/>
            </w:pPr>
            <w:r>
              <w:rPr>
                <w:sz w:val="20"/>
              </w:rPr>
              <w:t>2000</w:t>
            </w:r>
          </w:p>
        </w:tc>
        <w:tc>
          <w:tcPr>
            <w:tcW w:type="dxa" w:w="865"/>
          </w:tcPr>
          <w:p>
            <w:pPr>
              <w:jc w:val="center"/>
            </w:pPr>
            <w:r>
              <w:rPr>
                <w:sz w:val="20"/>
              </w:rPr>
              <w:t>1800</w:t>
            </w:r>
          </w:p>
        </w:tc>
        <w:tc>
          <w:tcPr>
            <w:tcW w:type="dxa" w:w="865"/>
          </w:tcPr>
          <w:p>
            <w:pPr>
              <w:jc w:val="center"/>
            </w:pPr>
            <w:r>
              <w:rPr>
                <w:sz w:val="20"/>
              </w:rPr>
              <w:t>1200</w:t>
            </w:r>
          </w:p>
        </w:tc>
        <w:tc>
          <w:tcPr>
            <w:tcW w:type="dxa" w:w="865"/>
          </w:tcPr>
          <w:p>
            <w:pPr>
              <w:jc w:val="center"/>
            </w:pPr>
            <w:r>
              <w:rPr>
                <w:sz w:val="20"/>
              </w:rPr>
              <w:t>700</w:t>
            </w:r>
          </w:p>
        </w:tc>
        <w:tc>
          <w:tcPr>
            <w:tcW w:type="dxa" w:w="865"/>
          </w:tcPr>
          <w:p>
            <w:pPr>
              <w:jc w:val="center"/>
            </w:pPr>
            <w:r>
              <w:rPr>
                <w:sz w:val="20"/>
              </w:rPr>
              <w:t>400</w:t>
            </w:r>
          </w:p>
        </w:tc>
        <w:tc>
          <w:tcPr>
            <w:tcW w:type="dxa" w:w="865"/>
          </w:tcPr>
          <w:p>
            <w:pPr>
              <w:jc w:val="center"/>
            </w:pPr>
            <w:r>
              <w:rPr>
                <w:sz w:val="20"/>
              </w:rPr>
            </w:r>
          </w:p>
        </w:tc>
        <w:tc>
          <w:tcPr>
            <w:tcW w:type="dxa" w:w="865"/>
          </w:tcPr>
          <w:p>
            <w:pPr>
              <w:jc w:val="center"/>
            </w:pPr>
            <w:r>
              <w:rPr>
                <w:sz w:val="20"/>
              </w:rPr>
            </w:r>
          </w:p>
        </w:tc>
      </w:tr>
    </w:tbl>
    <w:p>
      <w:r>
        <w:rPr>
          <w:rFonts w:ascii="Microsoft YaHei" w:hAnsi="Microsoft YaHei" w:eastAsia="Microsoft YaHei"/>
          <w:b w:val="0"/>
          <w:sz w:val="24"/>
        </w:rPr>
        <w:t>注：上述规定仅适用于正常工况，因此只能作为参考。</w:t>
      </w:r>
    </w:p>
    <w:p>
      <w:pPr>
        <w:ind w:firstLine="420"/>
      </w:pPr>
      <w:r>
        <w:rPr>
          <w:rFonts w:ascii="Microsoft YaHei" w:hAnsi="Microsoft YaHei" w:eastAsia="Microsoft YaHei"/>
          <w:b w:val="0"/>
          <w:sz w:val="24"/>
        </w:rPr>
        <w:t>上述润滑脂的规定是润滑轴承用的，对于各种轴承组件，在轴承组件上，内侧的丝堵是添加轴承润滑脂的，内侧的油杯是用于清洁迷宫密封用的。除定期的通过丝堵添加润滑脂外，还应经常通过油杯加入清洁的润滑脂，以保持迷宫密封的清洁。</w:t>
      </w:r>
    </w:p>
    <w:p>
      <w:pPr>
        <w:pStyle w:val="Heading1"/>
      </w:pPr>
      <w:r>
        <w:rPr>
          <w:rFonts w:ascii="Microsoft YaHei" w:hAnsi="Microsoft YaHei" w:eastAsia="Microsoft YaHei"/>
        </w:rPr>
        <w:t>六、可能发生的故障及解决方法</w:t>
      </w:r>
    </w:p>
    <w:tbl>
      <w:tblPr>
        <w:tblStyle w:val="LightGrid-Accent1"/>
        <w:tblW w:type="auto" w:w="0"/>
        <w:jc w:val="center"/>
        <w:tblLook w:firstColumn="1" w:firstRow="1" w:lastColumn="0" w:lastRow="0" w:noHBand="0" w:noVBand="1" w:val="04A0"/>
      </w:tblPr>
      <w:tblGrid>
        <w:gridCol w:w="2882"/>
        <w:gridCol w:w="2882"/>
        <w:gridCol w:w="2882"/>
      </w:tblGrid>
      <w:tr>
        <w:tc>
          <w:tcPr>
            <w:tcW w:type="dxa" w:w="2882"/>
          </w:tcPr>
          <w:p>
            <w:pPr>
              <w:jc w:val="center"/>
            </w:pPr>
            <w:r>
              <w:rPr>
                <w:b/>
                <w:sz w:val="20"/>
              </w:rPr>
              <w:t>故障</w:t>
            </w:r>
          </w:p>
        </w:tc>
        <w:tc>
          <w:tcPr>
            <w:tcW w:type="dxa" w:w="2882"/>
          </w:tcPr>
          <w:p>
            <w:pPr>
              <w:jc w:val="center"/>
            </w:pPr>
            <w:r>
              <w:rPr>
                <w:b/>
                <w:sz w:val="20"/>
              </w:rPr>
              <w:t>发生原因</w:t>
            </w:r>
          </w:p>
        </w:tc>
        <w:tc>
          <w:tcPr>
            <w:tcW w:type="dxa" w:w="2882"/>
          </w:tcPr>
          <w:p>
            <w:pPr>
              <w:jc w:val="center"/>
            </w:pPr>
            <w:r>
              <w:rPr>
                <w:b/>
                <w:sz w:val="20"/>
              </w:rPr>
              <w:t>解决方法</w:t>
            </w:r>
          </w:p>
        </w:tc>
      </w:tr>
      <w:tr>
        <w:tc>
          <w:tcPr>
            <w:tcW w:type="dxa" w:w="2882"/>
          </w:tcPr>
          <w:p>
            <w:pPr>
              <w:jc w:val="center"/>
            </w:pPr>
            <w:r>
              <w:rPr>
                <w:sz w:val="20"/>
              </w:rPr>
              <w:t>泵不吸水</w:t>
            </w:r>
          </w:p>
        </w:tc>
        <w:tc>
          <w:tcPr>
            <w:tcW w:type="dxa" w:w="2882"/>
          </w:tcPr>
          <w:p>
            <w:pPr>
              <w:jc w:val="center"/>
            </w:pPr>
            <w:r>
              <w:rPr>
                <w:sz w:val="20"/>
              </w:rPr>
              <w:t>吸入管道或填料处漏气；转向不对或叶轮损坏；吸入管堵塞</w:t>
            </w:r>
          </w:p>
        </w:tc>
        <w:tc>
          <w:tcPr>
            <w:tcW w:type="dxa" w:w="2882"/>
          </w:tcPr>
          <w:p>
            <w:pPr>
              <w:jc w:val="center"/>
            </w:pPr>
            <w:r>
              <w:rPr>
                <w:sz w:val="20"/>
              </w:rPr>
              <w:t>堵塞漏气部分；检查转向，更换新叶轮；排出堵塞</w:t>
            </w:r>
          </w:p>
        </w:tc>
      </w:tr>
      <w:tr>
        <w:tc>
          <w:tcPr>
            <w:tcW w:type="dxa" w:w="2882"/>
          </w:tcPr>
          <w:p>
            <w:pPr>
              <w:jc w:val="center"/>
            </w:pPr>
            <w:r>
              <w:rPr>
                <w:sz w:val="20"/>
              </w:rPr>
              <w:t>轴功率过大</w:t>
            </w:r>
          </w:p>
        </w:tc>
        <w:tc>
          <w:tcPr>
            <w:tcW w:type="dxa" w:w="2882"/>
          </w:tcPr>
          <w:p>
            <w:pPr>
              <w:jc w:val="center"/>
            </w:pPr>
            <w:r>
              <w:rPr>
                <w:sz w:val="20"/>
              </w:rPr>
              <w:t>填料压盖过紧，填料发热；泵内生产摩擦；轴承损坏；驱动装置皮带过紧；泵流量偏大；转速偏高，比重大；电机轴与泵轴不对中或不平行</w:t>
            </w:r>
          </w:p>
        </w:tc>
        <w:tc>
          <w:tcPr>
            <w:tcW w:type="dxa" w:w="2882"/>
          </w:tcPr>
          <w:p>
            <w:pPr>
              <w:jc w:val="center"/>
            </w:pPr>
            <w:r>
              <w:rPr>
                <w:sz w:val="20"/>
              </w:rPr>
              <w:t>松填料压盖螺栓；消除摩擦；更换轴承；调整皮带；调节泵的运行工况；调节转速；调整电机轴和泵轴</w:t>
            </w:r>
          </w:p>
        </w:tc>
      </w:tr>
      <w:tr>
        <w:tc>
          <w:tcPr>
            <w:tcW w:type="dxa" w:w="2882"/>
          </w:tcPr>
          <w:p>
            <w:pPr>
              <w:jc w:val="center"/>
            </w:pPr>
            <w:r>
              <w:rPr>
                <w:sz w:val="20"/>
              </w:rPr>
              <w:t>轴承过热</w:t>
            </w:r>
          </w:p>
        </w:tc>
        <w:tc>
          <w:tcPr>
            <w:tcW w:type="dxa" w:w="2882"/>
          </w:tcPr>
          <w:p>
            <w:pPr>
              <w:jc w:val="center"/>
            </w:pPr>
            <w:r>
              <w:rPr>
                <w:sz w:val="20"/>
              </w:rPr>
              <w:t>轴承润滑脂过多或过少；润滑脂中有杂物；轴承损坏</w:t>
            </w:r>
          </w:p>
        </w:tc>
        <w:tc>
          <w:tcPr>
            <w:tcW w:type="dxa" w:w="2882"/>
          </w:tcPr>
          <w:p>
            <w:pPr>
              <w:jc w:val="center"/>
            </w:pPr>
            <w:r>
              <w:rPr>
                <w:sz w:val="20"/>
              </w:rPr>
              <w:t>加润滑脂要适当；更新润滑脂；换新轴承</w:t>
            </w:r>
          </w:p>
        </w:tc>
      </w:tr>
      <w:tr>
        <w:tc>
          <w:tcPr>
            <w:tcW w:type="dxa" w:w="2882"/>
          </w:tcPr>
          <w:p>
            <w:pPr>
              <w:jc w:val="center"/>
            </w:pPr>
            <w:r>
              <w:rPr>
                <w:sz w:val="20"/>
              </w:rPr>
              <w:t>轴承寿命短</w:t>
            </w:r>
          </w:p>
        </w:tc>
        <w:tc>
          <w:tcPr>
            <w:tcW w:type="dxa" w:w="2882"/>
          </w:tcPr>
          <w:p>
            <w:pPr>
              <w:jc w:val="center"/>
            </w:pPr>
            <w:r>
              <w:rPr>
                <w:sz w:val="20"/>
              </w:rPr>
              <w:t>电机轴和泵轴不对中或不平行轴弯曲；泵内有磨擦或叶轮失去平衡；轴承内进入异物或润滑脂量不当；轴承装配不合理</w:t>
            </w:r>
          </w:p>
        </w:tc>
        <w:tc>
          <w:tcPr>
            <w:tcW w:type="dxa" w:w="2882"/>
          </w:tcPr>
          <w:p>
            <w:pPr>
              <w:jc w:val="center"/>
            </w:pPr>
            <w:r>
              <w:rPr>
                <w:sz w:val="20"/>
              </w:rPr>
              <w:t>调整电机轴和泵轴；换轴、清洗轴；消除磨擦，换新叶轮；换轴承或重新装配轴承</w:t>
            </w:r>
          </w:p>
        </w:tc>
      </w:tr>
      <w:tr>
        <w:tc>
          <w:tcPr>
            <w:tcW w:type="dxa" w:w="2882"/>
          </w:tcPr>
          <w:p>
            <w:pPr>
              <w:jc w:val="center"/>
            </w:pPr>
            <w:r>
              <w:rPr>
                <w:sz w:val="20"/>
              </w:rPr>
              <w:t>填料处泄漏严重</w:t>
            </w:r>
          </w:p>
        </w:tc>
        <w:tc>
          <w:tcPr>
            <w:tcW w:type="dxa" w:w="2882"/>
          </w:tcPr>
          <w:p>
            <w:pPr>
              <w:jc w:val="center"/>
            </w:pPr>
            <w:r>
              <w:rPr>
                <w:sz w:val="20"/>
              </w:rPr>
              <w:t>填料磨损严重；轴套磨损严重；密封水不清洁</w:t>
            </w:r>
          </w:p>
        </w:tc>
        <w:tc>
          <w:tcPr>
            <w:tcW w:type="dxa" w:w="2882"/>
          </w:tcPr>
          <w:p>
            <w:pPr>
              <w:jc w:val="center"/>
            </w:pPr>
            <w:r>
              <w:rPr>
                <w:sz w:val="20"/>
              </w:rPr>
              <w:t>更新填料；换轴套；换清洁密封水</w:t>
            </w:r>
          </w:p>
        </w:tc>
      </w:tr>
      <w:tr>
        <w:tc>
          <w:tcPr>
            <w:tcW w:type="dxa" w:w="2882"/>
          </w:tcPr>
          <w:p>
            <w:pPr>
              <w:jc w:val="center"/>
            </w:pPr>
            <w:r>
              <w:rPr>
                <w:sz w:val="20"/>
              </w:rPr>
              <w:t>泵振动，噪声大</w:t>
            </w:r>
          </w:p>
        </w:tc>
        <w:tc>
          <w:tcPr>
            <w:tcW w:type="dxa" w:w="2882"/>
          </w:tcPr>
          <w:p>
            <w:pPr>
              <w:jc w:val="center"/>
            </w:pPr>
            <w:r>
              <w:rPr>
                <w:sz w:val="20"/>
              </w:rPr>
              <w:t>轴承损坏；叶轮不平衡；吸入管进气，堵塞；流量不均匀，泵抽空</w:t>
            </w:r>
          </w:p>
        </w:tc>
        <w:tc>
          <w:tcPr>
            <w:tcW w:type="dxa" w:w="2882"/>
          </w:tcPr>
          <w:p>
            <w:pPr>
              <w:jc w:val="center"/>
            </w:pPr>
            <w:r>
              <w:rPr>
                <w:sz w:val="20"/>
              </w:rPr>
              <w:t>换新轴承；换新叶轮；清除进气，清理堵塞处；改善泵进料情况</w:t>
            </w:r>
          </w:p>
        </w:tc>
      </w:tr>
    </w:tbl>
    <w:sectPr w:rsidR="00FC693F" w:rsidRPr="0006063C" w:rsidSect="00034616">
      <w:pgSz w:w="12240" w:h="15840"/>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